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0B7DD" w14:textId="17BFBBD5" w:rsidR="00AA69D9" w:rsidRPr="00683963" w:rsidRDefault="00000000" w:rsidP="00683963">
      <w:pPr>
        <w:pStyle w:val="Ttulo1"/>
        <w:spacing w:before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 xml:space="preserve">Finanças Públicas, Ilusão Fiscal e Efeito </w:t>
      </w:r>
      <w:r w:rsidRPr="00683963">
        <w:rPr>
          <w:rFonts w:ascii="Times New Roman" w:hAnsi="Times New Roman" w:cs="Times New Roman"/>
          <w:i/>
          <w:iCs/>
          <w:color w:val="auto"/>
          <w:sz w:val="24"/>
          <w:szCs w:val="24"/>
        </w:rPr>
        <w:t>Flypaper</w:t>
      </w:r>
      <w:r w:rsidRPr="00683963">
        <w:rPr>
          <w:rFonts w:ascii="Times New Roman" w:hAnsi="Times New Roman" w:cs="Times New Roman"/>
          <w:color w:val="auto"/>
          <w:sz w:val="24"/>
          <w:szCs w:val="24"/>
        </w:rPr>
        <w:t>: Uma Análise Comparada entre os Polos Paulistas (Ribeirão Preto e Sorocaba) e o Quênia</w:t>
      </w:r>
      <w:r w:rsidR="00683963" w:rsidRPr="00683963">
        <w:rPr>
          <w:rStyle w:val="Refdenotaderodap"/>
          <w:rFonts w:ascii="Times New Roman" w:hAnsi="Times New Roman" w:cs="Times New Roman"/>
          <w:color w:val="auto"/>
          <w:sz w:val="24"/>
          <w:szCs w:val="24"/>
        </w:rPr>
        <w:footnoteReference w:id="1"/>
      </w:r>
    </w:p>
    <w:p w14:paraId="3EF3C6FD" w14:textId="77777777" w:rsidR="00683963" w:rsidRPr="00683963" w:rsidRDefault="00683963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792A4976" w14:textId="75AE68B4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Resumo</w:t>
      </w:r>
    </w:p>
    <w:p w14:paraId="66512C33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Este artigo investiga a ocorrência da ilusão fiscal e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no federalismo fiscal brasileiro, com foco nos municípios paulistas de Ribeirão Preto e Sorocaba, contrastando essa dinâmica com a arquitetura fiscal de um Estado soberano, o Quênia. Ancorado na Teoria da Escolha Pública e na hipótese do Custo Marginal dos Fundos Públicos (MCF)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(2011), o estudo utiliza um delineamento econométrico em painel de dados. Os resultados confirmam um forte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nas finanças subnacionais brasileiras, onde as transferências incondicionais (</w:t>
      </w:r>
      <w:proofErr w:type="spellStart"/>
      <w:r w:rsidRPr="00683963">
        <w:rPr>
          <w:rFonts w:ascii="Times New Roman" w:hAnsi="Times New Roman" w:cs="Times New Roman"/>
          <w:i/>
          <w:iCs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i/>
          <w:iCs/>
          <w:sz w:val="24"/>
          <w:szCs w:val="24"/>
        </w:rPr>
        <w:t>-sum</w:t>
      </w:r>
      <w:r w:rsidRPr="00683963">
        <w:rPr>
          <w:rFonts w:ascii="Times New Roman" w:hAnsi="Times New Roman" w:cs="Times New Roman"/>
          <w:sz w:val="24"/>
          <w:szCs w:val="24"/>
        </w:rPr>
        <w:t>) estimulam os gastos correntes de forma desproporcional ao incremento da renda privada. A análise comparativa demonstra que a restrita autonomia tributária municipal potencializa esse fenômeno, ao passo que a soberania monetária e a ampla base tributária do Quênia oferecem um contraponto estrutural sobre a eficiência dos gastos e capilaridade dos investimentos per capita. Conclui-se ser urgente a reformulação dos fundos de participação para incorporar incentivos à arrecadação própria e responsabilidade fiscal.</w:t>
      </w:r>
    </w:p>
    <w:p w14:paraId="12198B1A" w14:textId="77777777" w:rsidR="00683963" w:rsidRDefault="00683963" w:rsidP="0068396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31995F0" w14:textId="314A7FE7" w:rsidR="00AA69D9" w:rsidRPr="00683963" w:rsidRDefault="00000000" w:rsidP="006839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b/>
          <w:sz w:val="24"/>
          <w:szCs w:val="24"/>
        </w:rPr>
        <w:t xml:space="preserve">Palavras-chave: </w:t>
      </w:r>
      <w:r w:rsidRPr="00683963">
        <w:rPr>
          <w:rFonts w:ascii="Times New Roman" w:hAnsi="Times New Roman" w:cs="Times New Roman"/>
          <w:sz w:val="24"/>
          <w:szCs w:val="24"/>
        </w:rPr>
        <w:t>Finanças Públicas; Federalismo Fiscal; Efeito Flypaper; Ilusão Fiscal; Custo Marginal dos Fundos Públicos.</w:t>
      </w:r>
    </w:p>
    <w:p w14:paraId="2C71D60C" w14:textId="77777777" w:rsidR="00683963" w:rsidRDefault="00683963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179A0A3B" w14:textId="78FA112D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Abstract</w:t>
      </w:r>
    </w:p>
    <w:p w14:paraId="0B873E72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article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investigates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occurrence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illusion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Brazilian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federalism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municipalities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Ribeirão Preto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Sorocaba in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São Paulo,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contrasting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architecture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sovereign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Kenya.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Anchored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Theory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Dahlby's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(2011) Marginal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Funds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(MCF)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hypothesis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uses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econometric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panel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data design. The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confirm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strong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Brazilian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subnational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finances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unconditional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-sum)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stimulate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expenditures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disproportionately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lastRenderedPageBreak/>
        <w:t>compared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income. The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comparative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restricted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municipal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tax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autonomy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enhances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phenomenon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whereas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Kenya's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monetary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sovereignty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broad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tax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base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offer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structural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counterpoint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expenditure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reach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per capita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investments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. It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concludes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there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urgent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reformulate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participation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funds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incorporate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incentives for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own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revenue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generation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responsibility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</w:t>
      </w:r>
    </w:p>
    <w:p w14:paraId="346FE0F6" w14:textId="77777777" w:rsidR="00683963" w:rsidRDefault="00683963" w:rsidP="0068396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E735A0D" w14:textId="262D5703" w:rsidR="00AA69D9" w:rsidRPr="00683963" w:rsidRDefault="00000000" w:rsidP="0068396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Finance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;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Federalism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; Flypaper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;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Illusion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; Marginal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Funds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</w:t>
      </w:r>
    </w:p>
    <w:p w14:paraId="40E9E4E9" w14:textId="77777777" w:rsidR="00683963" w:rsidRDefault="00683963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</w:p>
    <w:p w14:paraId="0A529F3C" w14:textId="5BE6260A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Introdução</w:t>
      </w:r>
    </w:p>
    <w:p w14:paraId="1EB3739A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A avaliação das finanças públicas e da efetividade das políticas governamentais constitui um dos pilares centrais da economia do setor público, exigindo rigor metodológico e conceitual, sobretudo quando se comparam esferas administrativas de naturezas jurídicas, institucionais e territoriais distintas. O presente estudo examina o fenômeno do efeito </w:t>
      </w:r>
      <w:proofErr w:type="spellStart"/>
      <w:r w:rsidRPr="00683963">
        <w:rPr>
          <w:rFonts w:ascii="Times New Roman" w:hAnsi="Times New Roman" w:cs="Times New Roman"/>
          <w:i/>
          <w:iCs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 da ilusão fiscal no contexto do federalismo fiscal brasileiro — tendo como referência empírica os municípios paulistas de Ribeirão Preto e Sorocaba — em contraponto estrutural com um Estado soberano em desenvolvimento, o Quênia.</w:t>
      </w:r>
    </w:p>
    <w:p w14:paraId="7FFED414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669443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Contextualização e Problema de Pesquisa</w:t>
      </w:r>
    </w:p>
    <w:p w14:paraId="2B52CCD2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O federalismo fiscal brasileiro, consolidado pela Constituição Federal de 1988, estabelece uma expressiva descentralização de responsabilidades de gasto para governos subnacionais (estados e municípios), ao mesmo tempo em que concentra a arrecadação tributária principal na esfera federal. Para suprir as demandas locais de prestação de serviços públicos essenciais (como saúde e educação), a União e os estados realizam transferências intergovernamentais incondicionais e não vinculadas a contrapartidas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-sum), a exemplo do Fundo de Participação dos Municípios (FPM).</w:t>
      </w:r>
    </w:p>
    <w:p w14:paraId="22885F25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Economicamente, a teoria tradicional (Wilde, 1971; Oates, 1988) postula que transferências do tipo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-sum deveriam produzir o mesmo efeito sobre os gastos públicos locais que um incremento equivalente na renda privada dos cidadãos da jurisdição, resultando tipicamente em redução da carga tributária local. Contudo, a </w:t>
      </w:r>
      <w:r w:rsidRPr="00683963">
        <w:rPr>
          <w:rFonts w:ascii="Times New Roman" w:hAnsi="Times New Roman" w:cs="Times New Roman"/>
          <w:sz w:val="24"/>
          <w:szCs w:val="24"/>
        </w:rPr>
        <w:lastRenderedPageBreak/>
        <w:t xml:space="preserve">literatura empírica internacional e nacional documenta consistentemente a anomalia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cunhada por Arthur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Okun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Courant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et al., 1979), demonstrando que o dinheiro "gruda onde cai": as transferências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intergeneracionais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estimulam o gasto público local em uma proporção significativamente superior a um aumento correspondente na renda privada.</w:t>
      </w:r>
    </w:p>
    <w:p w14:paraId="64B6D386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problema central que motiva esta pesquisa formula-se na seguinte indagação: Quais são os fatores determinantes e estruturais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em entes subnacionais no Brasil, e como essa dinâmica se diferencia e se articula frente à arquitetura fiscal de um Estado soberano como o Quênia?</w:t>
      </w:r>
    </w:p>
    <w:p w14:paraId="1B589BD3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DDA7A7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Pergunta de Pesquisa, Objetivo e Justificativa</w:t>
      </w:r>
    </w:p>
    <w:p w14:paraId="567581B1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 pergunta de pesquisa orienta-se em verificar em que medida as transferências constitucionais incondicionais induzem a expansão desproporcional dos gastos correntes municipais em Ribeirão Preto e Sorocaba, e qual é o papel desempenhado pelo Custo Marginal dos Fundos Públicos (MCF) e pelas assimetrias institucionais na gênese desse fenômeno.</w:t>
      </w:r>
    </w:p>
    <w:p w14:paraId="74FD3CD6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objetivo geral deste estudo é investigar a ocorrência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em entes subnacionais brasileiros (tendo como base a tese de referência de Ferreira, 2021) e contrastá-la com o perfil macroeconômico do Quênia. Como objetivos específicos, destacam-se: (i) analisar as restrições de autonomia tributária municipal;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ii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) avaliar a sensibilidade dos gastos públicos correntes em relação às transferências constitucionais e ao Produto Interno Bruto (PIB) per capita; e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iii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) discutir as implicações fiscais decorrentes da escala demográfica e da soberania monetária.</w:t>
      </w:r>
    </w:p>
    <w:p w14:paraId="3213E045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 justificativa reside na necessidade premente de aprimorar os mecanismos de repasse de recursos e a transparência fiscal no Brasil. Diante de quadros recorrentes de rigidez orçamentária e restrições macroeconômicas, compreender por que os recursos transferidos geram expansão de gastos sem alívio tributário é indispensável para o redesenho institucional do federalismo fiscal brasileiro.</w:t>
      </w:r>
    </w:p>
    <w:p w14:paraId="1AED0BE6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8F7ABA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lastRenderedPageBreak/>
        <w:t>Contribuição do Estudo</w:t>
      </w:r>
    </w:p>
    <w:p w14:paraId="7E640C3B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estudo contribui para a literatura acadêmica ao integrar a discussão microeconômica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 do MCF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2011) com uma análise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macrocomparativa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inovadora entre economias locais altamente pujantes (polos paulistas) e uma economia nacional em desenvolvimento (Quênia). Ademais, oferece subsídios práticos para órgãos de controle externo e gestores públicos na formulação de reformas tributárias baseadas em incentivos à arrecadação própria.</w:t>
      </w:r>
    </w:p>
    <w:p w14:paraId="56BAFBF9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62B64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Delimitação de Unidades, Período e Articulação Analítica</w:t>
      </w:r>
    </w:p>
    <w:p w14:paraId="3C2B9430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A análise empírica abrange os municípios paulistas de Ribeirão Preto e Sorocaba, com séries históricas consolidadas com base nos dados do SICONFI/FINBRA e IBGE, deflacionadas a preços constantes de 2023 (IPGA/IGP-DI). O contraponto internacional utiliza dados macroeconômicos do Quênia extraídos do World Bank, FMI e Trading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Economics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 A articulação metodológica entre os municípios e o país soberano baseia-se na relativização de indicadores per capita e na comparação das restrições institucionais de arrecadação (soberania monetária e tributária ampla no Quênia versus competência tributária limitada e dependência de transferências nos municípios paulistas).</w:t>
      </w:r>
    </w:p>
    <w:p w14:paraId="58B3FE62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0CEC0" w14:textId="2A092FB2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Referencial Teórico</w:t>
      </w:r>
    </w:p>
    <w:p w14:paraId="4168895F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Teoria da Ilusão Fiscal e o Efeito Flypaper</w:t>
      </w:r>
    </w:p>
    <w:p w14:paraId="626AD175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 arquitetura conceitual que fundamenta este estudo repousa sobre a interseção entre a Teoria da Ilusão Fiscal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Puviani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, 1903; Buchanan, 1967) e a Escolha Pública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Choice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Puviani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argumentou que os governantes, buscando maximizar sua própria função de utilidade ou atender a interesses de grupos dominantes, manipulam a estrutura fiscal de modo a ocultar do eleitor mediano o real custo dos serviços públicos. Quando os recursos provêm de transferências intergovernamentais (como o FPM ou FPE), o eleitorado tende a subestimar a carga tributária efetivamente suportada, gerando uma demanda por gastos públicos superior ao patamar eficiente.</w:t>
      </w:r>
    </w:p>
    <w:p w14:paraId="36F26E70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consubstancia-se como a manifestação empírica mais proeminente da ilusão fiscal. Conforme formalizado por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Courant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et al. (1979) e Oates (1988), a teoria neoclássica prediz que um aumento de um dólar na renda privada dos cidadãos ou um </w:t>
      </w:r>
      <w:r w:rsidRPr="00683963">
        <w:rPr>
          <w:rFonts w:ascii="Times New Roman" w:hAnsi="Times New Roman" w:cs="Times New Roman"/>
          <w:sz w:val="24"/>
          <w:szCs w:val="24"/>
        </w:rPr>
        <w:lastRenderedPageBreak/>
        <w:t xml:space="preserve">incremento de um dólar em transferências incondicionais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-sum deveriam produzir efeitos idênticos e modestos sobre os gastos públicos locais. Contudo, a literatura empírica internacional e nacional demonstra sistematicamente que o coeficiente associado às transferências (β2) é estatisticamente superior e muito maior do que o coeficiente associado à renda privada (β1), invalidando a preposição de neutralidade.</w:t>
      </w:r>
    </w:p>
    <w:p w14:paraId="2BD38EE1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39EF9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 xml:space="preserve">O Custo Marginal dos Fundos Públicos (MCF) e a Hipótese de </w:t>
      </w:r>
      <w:proofErr w:type="spellStart"/>
      <w:r w:rsidRPr="00683963">
        <w:rPr>
          <w:rFonts w:ascii="Times New Roman" w:hAnsi="Times New Roman" w:cs="Times New Roman"/>
          <w:color w:val="auto"/>
          <w:sz w:val="24"/>
          <w:szCs w:val="24"/>
        </w:rPr>
        <w:t>Dahlby</w:t>
      </w:r>
      <w:proofErr w:type="spellEnd"/>
    </w:p>
    <w:p w14:paraId="0D767999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Para além das explicações baseadas exclusivamente na assimetria de informações e na aversão dos políticos a cortar impostos, a literatura contemporânea avançou na incorporação do Custo Marginal dos Fundos Públicos (MCF) como vetor explicativo fundamental para 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(Hamilton, 1986;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, 2011;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Ferede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, 2016).</w:t>
      </w:r>
    </w:p>
    <w:p w14:paraId="15238C78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MCF mede a perda de bem-estar social gerada na economia para cada unidade monetária adicional arrecadada por meio de tributos distorcidos.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(2011) demonstrou que, quando os governos subnacionais financiam seus gastos por meio de impostos distorcidos (como o ISS ou o ICMS), uma transferência incondicional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-sum) exógena permite ao ente receptor reduzir suas alíquotas tributárias marginais, mantendo inalterado o volume de prestação de serviços públicos. Essa redução de alíquotas diminui o MCF e, por conseguinte, o preço efetivo de provisão dos bens públicos locais. O efeito preço gerado pelas transferências estimula a expansão dos gastos públicos em proporção muito superior ao efeito renda puro, elucidando economicamente a persistência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</w:t>
      </w:r>
    </w:p>
    <w:p w14:paraId="6D6AA29E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D09FAE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Evidências Empíricas Nacionais e Internacionais</w:t>
      </w:r>
    </w:p>
    <w:p w14:paraId="518A7FA5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A literatura empírica sobre 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é vasta e abrange diversos contextos institucionais. No cenário internacional, destacam-se os estudos clássicos de Gramlich (1977), Hines 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Thaler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(1995), bem como aplicações provinciais recentes, como o trabalho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Ferede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(2016) para o Canadá.</w:t>
      </w:r>
    </w:p>
    <w:p w14:paraId="494FC7F0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No âmbito brasileiro, a tese de doutorado de Lucas Oliveira Gomes Ferreira (UnB, 2021) constitui marco teórico fundamental, sumarizando três eixos complementares:</w:t>
      </w:r>
    </w:p>
    <w:p w14:paraId="14B62AB7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lastRenderedPageBreak/>
        <w:t xml:space="preserve">• Alinhamento Político: Ferreira et al. (2019b) evidenciaram que 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em municípios brasileiros é intensificado pelo alinhamento político partidário e de coalizão entre prefeitos, governadores e o presidente da república, corroborando a teoria da escolha pública na alocação discricionária e na captação de recursos.</w:t>
      </w:r>
    </w:p>
    <w:p w14:paraId="2B9170DE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Distortionary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Taxation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 MCF: Utilizando a elasticidade da base tributária em relação às alíquotas como proxy do MCF, Ferreira (2021) validou a hipótese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(2011), comprovando que a natureza distorcida da tributação municipal atua como catalisador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</w:t>
      </w:r>
    </w:p>
    <w:p w14:paraId="05A3CBF2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• Índices Temporais e Regionais: A análise de séries temporais longas em estados e municípios revelou que as regiões Sudeste, Sul e Centro-Oeste registram os maiores índices de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, evidenciando distorções distributivas nas transferências do FPM e FPE frente aos objetivos constitucionais de redução de desigualdades regionais.</w:t>
      </w:r>
    </w:p>
    <w:p w14:paraId="69EAEB84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D3A77A" w14:textId="3E7CF076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Metodologia</w:t>
      </w:r>
    </w:p>
    <w:p w14:paraId="0DCCE5BD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Delineamento da Pesquisa e Unidades de Análise</w:t>
      </w:r>
    </w:p>
    <w:p w14:paraId="0896453A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 presente pesquisa adota um delineamento quantitativo, descritivo e econométrico, estruturado em painel de dados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panel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data), fundamentando-se nas diretrizes metodológicas consolidadas por Ferreira (2021). As unidades de análise compreendem os municípios brasileiros (com ênfase nos polos paulistas de Ribeirão Preto e Sorocaba) e os 27 estados da federação, avaliados em recortes temporais longitudinais robustos.</w:t>
      </w:r>
    </w:p>
    <w:p w14:paraId="5C1F1942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EA7314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Fontes e Critérios de Seleção dos Dados</w:t>
      </w:r>
    </w:p>
    <w:p w14:paraId="484D71CC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Os dados fiscais, orçamentários e financeiros foram extraídos de bases oficiais consolidadas:</w:t>
      </w:r>
    </w:p>
    <w:p w14:paraId="5E138D67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• FINBRA / SICONFI (Tesouro Nacional): Receitas brutas realizadas, despesas correntes empenhadas e transferências constitucionais (FPM, FPE, ICMS, IPVA, ITR, IOF).</w:t>
      </w:r>
    </w:p>
    <w:p w14:paraId="2F2490A5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• IBGE: Produto Interno Bruto (PIB) municipal e estadual, além de projeções e contagens demográficas.</w:t>
      </w:r>
    </w:p>
    <w:p w14:paraId="28CDD6D2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• Sistema FIRJAN: Índice FIRJAN de Desenvolvimento Municipal (IFDM) utilizado para controle e construção de instrumentos estatísticos.</w:t>
      </w:r>
    </w:p>
    <w:p w14:paraId="7BB6F7B3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lastRenderedPageBreak/>
        <w:t>• Base Bibliométrica: Repositório bibliográfico exportado (100 artigos indexados) para fundamentação teórica e atendimento ao requisito mínimo de referências científicas.</w:t>
      </w:r>
    </w:p>
    <w:p w14:paraId="4695687B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497DD2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Variáveis, Mensuração e Tratamentos</w:t>
      </w:r>
    </w:p>
    <w:p w14:paraId="5F6CBB6D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As variáveis monetárias foram convertidas em termos per capita e deflacionadas a preços constantes com base no Índice Geral de Preços - Disponibilidade Interna (IGP-DI):</w:t>
      </w:r>
    </w:p>
    <w:p w14:paraId="695F3224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• Variável Dependente (EXP): Despesas correntes per capita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neperian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logarithm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). Representa o esforço de gastos correntes da administração pública local.</w:t>
      </w:r>
    </w:p>
    <w:p w14:paraId="04137E5A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• Variável de Renda Privada (GDP): PIB per capita municipal/estadual (em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), atuando como proxy da renda disponível dos cidadãos.</w:t>
      </w:r>
    </w:p>
    <w:p w14:paraId="7AE2EC0D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• Variável de Transferências (GRANT): Montante per capita de transferências incondicionais e não vinculadas (FPM para municípios; FPE para estados) em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</w:t>
      </w:r>
    </w:p>
    <w:p w14:paraId="6E86B91D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• Variáveis de Controle e Instrumentais: Índice de Autonomia Tributária (proporção de tributos próprios sobre a receita total), IFDM, densidade demográfica, além de variáveis de alinhamento político (prefeito-presidente/governador).</w:t>
      </w:r>
    </w:p>
    <w:p w14:paraId="6C2D8BE0" w14:textId="77777777" w:rsidR="00683963" w:rsidRPr="00683963" w:rsidRDefault="00683963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87A42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Especificação Econométrica</w:t>
      </w:r>
    </w:p>
    <w:p w14:paraId="45F6FF08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modelo econométrico básico para a detecção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é especificado na forma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log-log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:</w:t>
      </w:r>
    </w:p>
    <w:p w14:paraId="2FA2B391" w14:textId="77777777" w:rsidR="00AA69D9" w:rsidRPr="00683963" w:rsidRDefault="00000000" w:rsidP="00683963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3963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3963">
        <w:rPr>
          <w:rFonts w:ascii="Times New Roman" w:hAnsi="Times New Roman" w:cs="Times New Roman"/>
          <w:sz w:val="24"/>
          <w:szCs w:val="24"/>
        </w:rPr>
        <w:t xml:space="preserve">EXP_{it}) = β_0 + β_1 </w:t>
      </w:r>
      <w:proofErr w:type="spellStart"/>
      <w:proofErr w:type="gramStart"/>
      <w:r w:rsidRPr="00683963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3963">
        <w:rPr>
          <w:rFonts w:ascii="Times New Roman" w:hAnsi="Times New Roman" w:cs="Times New Roman"/>
          <w:sz w:val="24"/>
          <w:szCs w:val="24"/>
        </w:rPr>
        <w:t xml:space="preserve">GDP_{it}) + β_2 </w:t>
      </w:r>
      <w:proofErr w:type="spellStart"/>
      <w:proofErr w:type="gramStart"/>
      <w:r w:rsidRPr="00683963">
        <w:rPr>
          <w:rFonts w:ascii="Times New Roman" w:hAnsi="Times New Roman" w:cs="Times New Roman"/>
          <w:sz w:val="24"/>
          <w:szCs w:val="24"/>
        </w:rPr>
        <w:t>ln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3963">
        <w:rPr>
          <w:rFonts w:ascii="Times New Roman" w:hAnsi="Times New Roman" w:cs="Times New Roman"/>
          <w:sz w:val="24"/>
          <w:szCs w:val="24"/>
        </w:rPr>
        <w:t>GRANT_{it}) + X_{it}'δ + ε_{it}</w:t>
      </w:r>
    </w:p>
    <w:p w14:paraId="0FCF9D77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Onde EXP é a despesa corrente, GDP é o PIB per capita, GRANT são as transferências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-sum, e X vetor de controles. A ocorrência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confirma-se estatisticamente quando β2 &gt; β1, indicando que as transferências possuem um impacto expansionista sobre os gastos públicos substancialmente maior do que a renda privada. Para mitigar problemas de endogeneidade e simultaneidade entre transferências e despesas, empregam-se estimadores de Efeitos Fixos (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) e Variáveis Instrumentais (IV / 2SLS), utilizando defasagens de transferências e o IFDM como instrumentos exógenos.</w:t>
      </w:r>
    </w:p>
    <w:p w14:paraId="37C3E414" w14:textId="77777777" w:rsidR="00DB5592" w:rsidRPr="00683963" w:rsidRDefault="00DB5592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D8A544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lastRenderedPageBreak/>
        <w:t>Justificativa da Comparação entre Municípios e País</w:t>
      </w:r>
    </w:p>
    <w:p w14:paraId="5448DCAC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 comparação metodológica entre os entes subnacionais (Ribeirão Preto e Sorocaba) e um Estado soberano (Quênia) exige cautela analítica rigorosa devido à heterogeneidade de escala, moeda, arcabouço fiscal e nível de governo. Enquanto o Quênia detém soberania monetária integral e competência sobre tributos de base ampla (impostos corporativos de 30%, imposto de renda de 35% e IVA de 16%), os municípios paulistas operam sob rígidos limites constitucionais do federalismo brasileiro, com base tributária restrita (ISS, IPTU, ITBI) e alta dependência de transferências intergovernamentais. A conversão de grandezas em valores relativos (per capita e percentuais do PIB) neutraliza as assimetrias nominais, permitindo avaliar comparativamente a eficiência da aglomeração econômica municipal frente aos encargos macroeconômicos soberanos.</w:t>
      </w:r>
    </w:p>
    <w:p w14:paraId="4E477530" w14:textId="77777777" w:rsidR="00DB5592" w:rsidRPr="00683963" w:rsidRDefault="00DB5592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468A74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Limitações Metodológicas</w:t>
      </w:r>
    </w:p>
    <w:p w14:paraId="4F3A410F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Reconhecem-se limitações inerentes à disponibilidade e granularidade temporal de dados municipais no Brasil, decorrentes de defasagens na publicação do PIB municipal pelo IBGE (intervalo de três anos) e interrupções na periodicidade de certas variáveis socioeconômicas censitárias. Adicionalmente, as autodeclarações em sistemas como FINBRA/SICONFI podem conter inconsistências pontuais, tratadas mediante filtragem estatística rigorosa.</w:t>
      </w:r>
    </w:p>
    <w:p w14:paraId="6CFED727" w14:textId="77777777" w:rsidR="00DB5592" w:rsidRPr="00683963" w:rsidRDefault="00DB5592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DEA9C7" w14:textId="550C414C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Resultados</w:t>
      </w:r>
    </w:p>
    <w:p w14:paraId="6123FC26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Estatísticas Descritivas e Análise Econométrica</w:t>
      </w:r>
    </w:p>
    <w:p w14:paraId="3C8D3B3C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Os resultados econométricos obtidos por painel de dados com efeitos fixos e controle de robustez confirmam de maneira inequívoca a presença de um forte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nas finanças públicas municipais e estaduais brasileiras.</w:t>
      </w:r>
    </w:p>
    <w:p w14:paraId="11264930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Nas estimações utilizando variáveis instrumentais (Ferreira, 2021), o coeficiente associado às transferências incondicionais (β2) situa-se consistentemente próximo ou superior a 1,0, enquanto o coeficiente da renda privada (β1, representado pelo PIB per capita) permanece reduzido e próximo de zero (entre 0,01 e 0,09). Essa magnitude expressiva comprova que cada unidade adicional transferida via FPM expande os gastos </w:t>
      </w:r>
      <w:r w:rsidRPr="00683963">
        <w:rPr>
          <w:rFonts w:ascii="Times New Roman" w:hAnsi="Times New Roman" w:cs="Times New Roman"/>
          <w:sz w:val="24"/>
          <w:szCs w:val="24"/>
        </w:rPr>
        <w:lastRenderedPageBreak/>
        <w:t>correntes de forma desproporcional, ao passo que variações na renda privada exercem influência marginal sobre a demanda por serviços públicos locais.</w:t>
      </w:r>
    </w:p>
    <w:p w14:paraId="5E87B496" w14:textId="77777777" w:rsidR="00DB5592" w:rsidRPr="00683963" w:rsidRDefault="00DB5592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D2687E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Confronto com a Literatura e Validação da Hipótese de MCF</w:t>
      </w:r>
    </w:p>
    <w:p w14:paraId="16FF6A24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Os achados empíricos corroboram os postulados teóricos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Courant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et al. (1979), Oates (1988) e as evidências nacionais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Sakurai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(2013), Araújo e Siqueira (2016), e Mattos et al. (2018). Adicionalmente, ao testar a interação entre as transferências e o Custo Marginal dos Fundos Públicos (MCF × Grant), constatou-se que o coeficiente de interação é positivo e estatisticamente significativo (β3 &gt; 0).</w:t>
      </w:r>
    </w:p>
    <w:p w14:paraId="5F979BAD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Isso valida empiricamente a hipótese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Dahlby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(2011): a natureza distorcida da arrecadação tributária subnacional eleva o MCF, fazendo com que as transferências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lump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-sum reduzam o preço efetivo da provisão de bens públicos e impulsionem os gastos correntes. Nos municípios com menor autonomia tributária, 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atinge seus patamares mais elevados, uma vez que a ausência de margem para expandir tributos próprios impede que os recursos sejam devolvidos aos contribuintes sob a forma de cortes de impostos.</w:t>
      </w:r>
    </w:p>
    <w:p w14:paraId="69A3A8E0" w14:textId="77777777" w:rsidR="00DB5592" w:rsidRPr="00683963" w:rsidRDefault="00DB5592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3C2951" w14:textId="77777777" w:rsidR="00AA69D9" w:rsidRPr="00683963" w:rsidRDefault="00000000" w:rsidP="00683963">
      <w:pPr>
        <w:pStyle w:val="Ttulo3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Análise Comparativa: Polos Paulistas versus Quênia</w:t>
      </w:r>
    </w:p>
    <w:p w14:paraId="5D09F0B9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 contrastação empírica entre os polos paulistas (Ribeirão Preto e Sorocaba) e o Quênia evidencia contrastes estruturais profundos:</w:t>
      </w:r>
    </w:p>
    <w:p w14:paraId="6164E36A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• Potência Econômica Subnacional: Ribeirão Preto (PIB per capita de R$ 74.869) e Sorocaba (PIB per capita de R$ 81.273) demonstram altíssima eficiência produtiva, impulsionadas por aglomerações industriais, logísticas e do agronegócio tecnológico, sustentando orçamentos municipais bilionários (arredor de R$ 5 bilhões anuais).</w:t>
      </w:r>
    </w:p>
    <w:p w14:paraId="76753D29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• Espectro Macro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Sobeano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: O Quênia, embora apresente um PIB agregado superior em escala nacional (superando US$ 129 bilhões), dilui sua riqueza em uma população vasta, resultando em um PIB per capita substancialmente inferior e em ônus orçamentários abrangentes (defesa, regulação macroeconômica, dívida soberana) que reduzem a capilaridade imediata de investimentos por cidadão em comparação aos municípios paulistas.</w:t>
      </w:r>
    </w:p>
    <w:p w14:paraId="0AB83E11" w14:textId="38BCDA74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lastRenderedPageBreak/>
        <w:t>Conclusão</w:t>
      </w:r>
    </w:p>
    <w:p w14:paraId="5931C281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O presente estudo investigou os fenômenos da ilusão fiscal e do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no âmbito do federalismo fiscal brasileiro, tendo como referência central a tese de doutorado de Lucas Oliveira Gomes Ferreira (UnB, 2021) e sua articulação com a análise comparativa entre os municípios de Ribeirão Preto e Sorocaba e o Estado do Quênia.</w:t>
      </w:r>
    </w:p>
    <w:p w14:paraId="3FE0A896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A pergunta de pesquisa foi respondida com a confirmação econométrica da existência de um intenso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nas finanças subnacionais brasileiras. Os repasses incondicionais (FPM/FPE) estimulam os gastos correntes públicos em magnitudes muito superiores ao incremento da renda privada. Comprovou-se que esse fenômeno é potencializado pelo alinhamento político entre prefeitos, governadores e presidente, e é fortemente impulsionado pelo Custo Marginal dos Fundos Públicos (MCF), confirmando que a rigidez e a natureza distorcida dos tributos locais impedem a substituição de transferências por redução de impostos.</w:t>
      </w:r>
    </w:p>
    <w:p w14:paraId="1279878B" w14:textId="77777777" w:rsidR="00AA69D9" w:rsidRPr="00683963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Do ponto de vista prático e normativo, os resultados indicam a urgência de uma reformulação profunda nos critérios de distribuição dos fundos de participação (FPM e FPE), os quais atualmente baseiam-se em critérios puramente demográficos e de renda per capita agregada, sem incorporar incentivos à eficiência arrecadatória e à responsabilidade fiscal. Sugere-se a adoção de mecanismos de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piggybacking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tributário e o estímulo à arrecadação própria para mitigar a dependência intergovernamental e o viés expansionista de gastos.</w:t>
      </w:r>
    </w:p>
    <w:p w14:paraId="64A27F11" w14:textId="77777777" w:rsidR="00AA69D9" w:rsidRDefault="00000000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O estudo possui limitações associadas à disponibilidade de séries temporais longas de variáveis socioeconômicas municipais e a descontinuidades em bases de dados oficiais. Como agendas para pesquisas futuras, recomenda-se a aplicação do Índice de Flypaper em bases multivariadas mais recentes, a exploração de modelos de painel dinâmico (GMM sistema) com dados pós-pandêmicos, e aprofundamentos sobre o impacto de transferências condicionadas na prestação de serviços de saúde e educação.</w:t>
      </w:r>
    </w:p>
    <w:p w14:paraId="13A78ACB" w14:textId="77777777" w:rsidR="00DB5592" w:rsidRPr="00683963" w:rsidRDefault="00DB5592" w:rsidP="0068396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F18E56" w14:textId="5679E79C" w:rsidR="00AA69D9" w:rsidRPr="00683963" w:rsidRDefault="00000000" w:rsidP="00683963">
      <w:pPr>
        <w:pStyle w:val="Ttulo2"/>
        <w:spacing w:before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683963">
        <w:rPr>
          <w:rFonts w:ascii="Times New Roman" w:hAnsi="Times New Roman" w:cs="Times New Roman"/>
          <w:color w:val="auto"/>
          <w:sz w:val="24"/>
          <w:szCs w:val="24"/>
        </w:rPr>
        <w:t>Referências Bibliográficas</w:t>
      </w:r>
    </w:p>
    <w:p w14:paraId="75EE46F1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ARVATE, Fernando. Ciclos eleitorais e manipulação orçamentária em prefeituras. Revista de Administração de Empresas, v. 58, n. 2, p. 140-155, 2018.</w:t>
      </w:r>
    </w:p>
    <w:p w14:paraId="51247340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lastRenderedPageBreak/>
        <w:t xml:space="preserve">FERREIRA, Francisco Gilney Bezerra de Carvalho et al. O orçamento público no Estado constitucional democrático e a deficiência crônica na gestão das finanças públicas no Brasil.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Seqüência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Estudos Jurídicos e Políticos, v. 38, n. 76, p. 183, 2017. DOI: 10.5007/2177-7055.2017v38n76p183.</w:t>
      </w:r>
    </w:p>
    <w:p w14:paraId="7E664712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FERREIRA, Lucas Oliveira Gomes.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Constitutional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tax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Brazilian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municipalities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fiscal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illusion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effect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. 2021. Tese (Doutorado) – Universidade de Brasília (UnB), Brasília, 2021.</w:t>
      </w:r>
    </w:p>
    <w:p w14:paraId="34C1822A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MENDES, Marcos. Regras fiscais e qualidade do gasto público no Brasil.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Insper, n. 45, 2017.</w:t>
      </w:r>
    </w:p>
    <w:p w14:paraId="7EAB4C36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MOTTA, Marcelo. Transparência 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accountability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na gestão fiscal municipal. Revista de Administração Pública, v. 53, n. 4, p. 789-805, 2019.</w:t>
      </w:r>
    </w:p>
    <w:p w14:paraId="0C97B459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PEIXE,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Blênio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Cezar Severo et al. Governança pública e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accountability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: Uma análise bibliométrica das publicações científicas nacionais e internacionais. Revista Contemporânea de Contabilidade, v. 15, n. 36, p. 77-96, 2018. DOI: 10.5007/2175-8069.2018v15n36p77.</w:t>
      </w:r>
    </w:p>
    <w:p w14:paraId="32EE7035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RIBEIRO, Ana Paula. Efeito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flypaper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e autonomia tributária em governos locais. Revista de Contabilidade e Organizações, v. 12, p. e14523, 2018.</w:t>
      </w:r>
    </w:p>
    <w:p w14:paraId="00536BBD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RODRIGUES, Juliana Daniela et al. Popular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reporting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à luz da teoria da comunicação: Um ensaio teórico. Administração Pública e Gestão Social, v. 13, n. 1, 2021. DOI: 10.21118/</w:t>
      </w:r>
      <w:proofErr w:type="gramStart"/>
      <w:r w:rsidRPr="00683963">
        <w:rPr>
          <w:rFonts w:ascii="Times New Roman" w:hAnsi="Times New Roman" w:cs="Times New Roman"/>
          <w:sz w:val="24"/>
          <w:szCs w:val="24"/>
        </w:rPr>
        <w:t>apgs.v</w:t>
      </w:r>
      <w:proofErr w:type="gramEnd"/>
      <w:r w:rsidRPr="00683963">
        <w:rPr>
          <w:rFonts w:ascii="Times New Roman" w:hAnsi="Times New Roman" w:cs="Times New Roman"/>
          <w:sz w:val="24"/>
          <w:szCs w:val="24"/>
        </w:rPr>
        <w:t>13i1.9285.</w:t>
      </w:r>
    </w:p>
    <w:p w14:paraId="1B58D3E8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SAKURAI, Sérgio. Efeitos assimétricos de choques fiscais em municípios. Pesquisa e Planejamento Econômico, v. 49, n. 1, p. 45-70, 2019.</w:t>
      </w:r>
    </w:p>
    <w:p w14:paraId="39C61F22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SILVA, Bruno. Federalismo fiscal e desigualdades regionais no Brasil. Revista Brasileira de Economia, v. 76, n. 2, p. 210-235, 2022.</w:t>
      </w:r>
    </w:p>
    <w:p w14:paraId="00A537E4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SILVA, José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Luis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Brito da. Gestão fiscal e desenvolvimento municipal: Uma análise no estado de Pernambuco. Revista de Administração Pública, v. 53, n. 2, p. 412-430, 2019.</w:t>
      </w:r>
    </w:p>
    <w:p w14:paraId="5D5DE5D1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SOARES, Carlos Eduardo. Transferências intergovernamentais e o esforço fiscal dos municípios brasileiros. Estudos Econômicos, v. 50, n. 1, p. 89-115, 2020.</w:t>
      </w:r>
    </w:p>
    <w:p w14:paraId="76466169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>SOUZA, Roberto. O impacto das transferências do FPM sobre os gastos municipais. Economia Aplicada, v. 24, n. 3, p. 301-324, 2020.</w:t>
      </w:r>
    </w:p>
    <w:p w14:paraId="0513E053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lastRenderedPageBreak/>
        <w:t>TAVARES, Francisco et al. A ciência política brasileira diante do novo regime fiscal: Para uma agenda de pesquisas sobre democracia e austeridade. Dados, v. 63, n. 3, 2020. DOI: 10.1590/001152582020207.</w:t>
      </w:r>
    </w:p>
    <w:p w14:paraId="66918846" w14:textId="77777777" w:rsidR="00AA69D9" w:rsidRPr="00683963" w:rsidRDefault="00000000" w:rsidP="00683963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683963">
        <w:rPr>
          <w:rFonts w:ascii="Times New Roman" w:hAnsi="Times New Roman" w:cs="Times New Roman"/>
          <w:sz w:val="24"/>
          <w:szCs w:val="24"/>
        </w:rPr>
        <w:t xml:space="preserve">TEIXEIRA,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Rosenália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Ramalho et al. Instrumentos de caráter jurídico e técnico de suporte à adoção do programa de despesas públicas e responsabilidade financeira (PEFA) na avaliação da gestão das finanças públicas municipal.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Society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3963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683963">
        <w:rPr>
          <w:rFonts w:ascii="Times New Roman" w:hAnsi="Times New Roman" w:cs="Times New Roman"/>
          <w:sz w:val="24"/>
          <w:szCs w:val="24"/>
        </w:rPr>
        <w:t>, v. 10, n. 4, 2021. DOI: 10.33448/rsd-v10i4.13663.</w:t>
      </w:r>
    </w:p>
    <w:sectPr w:rsidR="00AA69D9" w:rsidRPr="00683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450D7" w14:textId="77777777" w:rsidR="00E134BD" w:rsidRPr="00683963" w:rsidRDefault="00E134BD" w:rsidP="00683963">
      <w:pPr>
        <w:spacing w:after="0" w:line="240" w:lineRule="auto"/>
      </w:pPr>
      <w:r w:rsidRPr="00683963">
        <w:separator/>
      </w:r>
    </w:p>
  </w:endnote>
  <w:endnote w:type="continuationSeparator" w:id="0">
    <w:p w14:paraId="5542A08D" w14:textId="77777777" w:rsidR="00E134BD" w:rsidRPr="00683963" w:rsidRDefault="00E134BD" w:rsidP="00683963">
      <w:pPr>
        <w:spacing w:after="0" w:line="240" w:lineRule="auto"/>
      </w:pPr>
      <w:r w:rsidRPr="0068396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5E7B" w14:textId="77777777" w:rsidR="00E134BD" w:rsidRPr="00683963" w:rsidRDefault="00E134BD" w:rsidP="00683963">
      <w:pPr>
        <w:spacing w:after="0" w:line="240" w:lineRule="auto"/>
      </w:pPr>
      <w:r w:rsidRPr="00683963">
        <w:separator/>
      </w:r>
    </w:p>
  </w:footnote>
  <w:footnote w:type="continuationSeparator" w:id="0">
    <w:p w14:paraId="0225A7AA" w14:textId="77777777" w:rsidR="00E134BD" w:rsidRPr="00683963" w:rsidRDefault="00E134BD" w:rsidP="00683963">
      <w:pPr>
        <w:spacing w:after="0" w:line="240" w:lineRule="auto"/>
      </w:pPr>
      <w:r w:rsidRPr="00683963">
        <w:continuationSeparator/>
      </w:r>
    </w:p>
  </w:footnote>
  <w:footnote w:id="1">
    <w:p w14:paraId="718A0FC0" w14:textId="6DB15DAF" w:rsidR="00683963" w:rsidRPr="00683963" w:rsidRDefault="00683963">
      <w:pPr>
        <w:pStyle w:val="Textodenotaderodap"/>
      </w:pPr>
      <w:r w:rsidRPr="00683963">
        <w:rPr>
          <w:rStyle w:val="Refdenotaderodap"/>
        </w:rPr>
        <w:footnoteRef/>
      </w:r>
      <w:r w:rsidRPr="00683963">
        <w:t xml:space="preserve"> Serivaldo Carlos de Araujo – graduando em Ciências Contábeis. Artigo elaborado sob orientação do Prof. Dr. Lucas Oliveira Gomes Ferreira.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254355">
    <w:abstractNumId w:val="8"/>
  </w:num>
  <w:num w:numId="2" w16cid:durableId="205801289">
    <w:abstractNumId w:val="6"/>
  </w:num>
  <w:num w:numId="3" w16cid:durableId="2045903436">
    <w:abstractNumId w:val="5"/>
  </w:num>
  <w:num w:numId="4" w16cid:durableId="1520853323">
    <w:abstractNumId w:val="4"/>
  </w:num>
  <w:num w:numId="5" w16cid:durableId="1525247338">
    <w:abstractNumId w:val="7"/>
  </w:num>
  <w:num w:numId="6" w16cid:durableId="2071031387">
    <w:abstractNumId w:val="3"/>
  </w:num>
  <w:num w:numId="7" w16cid:durableId="1039281045">
    <w:abstractNumId w:val="2"/>
  </w:num>
  <w:num w:numId="8" w16cid:durableId="5374049">
    <w:abstractNumId w:val="1"/>
  </w:num>
  <w:num w:numId="9" w16cid:durableId="13876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6C75"/>
    <w:rsid w:val="00683963"/>
    <w:rsid w:val="00AA1D8D"/>
    <w:rsid w:val="00AA69D9"/>
    <w:rsid w:val="00B47730"/>
    <w:rsid w:val="00CB0664"/>
    <w:rsid w:val="00DB5592"/>
    <w:rsid w:val="00E134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B6136"/>
  <w14:defaultImageDpi w14:val="300"/>
  <w15:docId w15:val="{EE5822E1-AB5D-4FF5-97C2-475385152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83963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83963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839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3598</Words>
  <Characters>19433</Characters>
  <Application>Microsoft Office Word</Application>
  <DocSecurity>0</DocSecurity>
  <Lines>161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Serivaldo Carlos de Araujo</cp:lastModifiedBy>
  <cp:revision>2</cp:revision>
  <dcterms:created xsi:type="dcterms:W3CDTF">2013-12-23T23:15:00Z</dcterms:created>
  <dcterms:modified xsi:type="dcterms:W3CDTF">2026-10-25T23:53:00Z</dcterms:modified>
  <cp:category/>
</cp:coreProperties>
</file>