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76D3D" w14:textId="77777777" w:rsidR="0029751D" w:rsidRDefault="0029751D" w:rsidP="0029751D">
      <w:pPr>
        <w:rPr>
          <w:b/>
          <w:bCs/>
        </w:rPr>
      </w:pPr>
    </w:p>
    <w:p w14:paraId="3B030D0F" w14:textId="77777777" w:rsidR="0029751D" w:rsidRDefault="0029751D" w:rsidP="0029751D">
      <w:pPr>
        <w:rPr>
          <w:b/>
          <w:bCs/>
        </w:rPr>
      </w:pPr>
    </w:p>
    <w:p w14:paraId="78113DFD" w14:textId="77777777" w:rsidR="0029751D" w:rsidRDefault="0029751D" w:rsidP="0029751D">
      <w:pPr>
        <w:rPr>
          <w:b/>
          <w:bCs/>
        </w:rPr>
      </w:pPr>
    </w:p>
    <w:p w14:paraId="755F9CC1" w14:textId="4AA2D08B" w:rsidR="0029751D" w:rsidRPr="0029751D" w:rsidRDefault="0029751D" w:rsidP="0029751D">
      <w:pPr>
        <w:rPr>
          <w:b/>
          <w:bCs/>
        </w:rPr>
      </w:pPr>
      <w:r w:rsidRPr="0029751D">
        <w:rPr>
          <w:b/>
          <w:bCs/>
        </w:rPr>
        <w:t>Central University “Marta Abre” from Las Villas</w:t>
      </w:r>
    </w:p>
    <w:p w14:paraId="0353D25A" w14:textId="2B03889B" w:rsidR="0029751D" w:rsidRPr="0029751D" w:rsidRDefault="004F51CE" w:rsidP="0029751D">
      <w:r w:rsidRPr="0029751D">
        <w:rPr>
          <w:b/>
          <w:bCs/>
        </w:rPr>
        <w:t>Title: Prognostic Value of the Leuko</w:t>
      </w:r>
      <w:r w:rsidR="00F35BC3" w:rsidRPr="0029751D">
        <w:rPr>
          <w:b/>
          <w:bCs/>
        </w:rPr>
        <w:t>-</w:t>
      </w:r>
      <w:r w:rsidRPr="0029751D">
        <w:rPr>
          <w:b/>
          <w:bCs/>
        </w:rPr>
        <w:t>glycemic Index in Acute Stroke Mortality</w:t>
      </w:r>
    </w:p>
    <w:p w14:paraId="7168D35D" w14:textId="2AC6B5D1" w:rsidR="0029751D" w:rsidRDefault="0029751D" w:rsidP="0029751D">
      <w:pPr>
        <w:rPr>
          <w:b/>
          <w:bCs/>
        </w:rPr>
      </w:pPr>
      <w:r w:rsidRPr="0029751D">
        <w:rPr>
          <w:b/>
          <w:bCs/>
        </w:rPr>
        <w:t xml:space="preserve">Author: Ernesto David </w:t>
      </w:r>
      <w:proofErr w:type="spellStart"/>
      <w:r w:rsidRPr="0029751D">
        <w:rPr>
          <w:b/>
          <w:bCs/>
        </w:rPr>
        <w:t>Serize</w:t>
      </w:r>
      <w:proofErr w:type="spellEnd"/>
      <w:r w:rsidRPr="0029751D">
        <w:rPr>
          <w:b/>
          <w:bCs/>
        </w:rPr>
        <w:t xml:space="preserve"> Portela</w:t>
      </w:r>
    </w:p>
    <w:p w14:paraId="5DB4AAD6" w14:textId="3C87B20A" w:rsidR="0029751D" w:rsidRPr="0029751D" w:rsidRDefault="0029751D" w:rsidP="0029751D">
      <w:pPr>
        <w:rPr>
          <w:b/>
          <w:bCs/>
        </w:rPr>
      </w:pPr>
      <w:r>
        <w:rPr>
          <w:b/>
          <w:bCs/>
        </w:rPr>
        <w:t>ernestoserize@gmail.com</w:t>
      </w:r>
    </w:p>
    <w:p w14:paraId="58EFFE68" w14:textId="77777777" w:rsidR="0029751D" w:rsidRDefault="0029751D" w:rsidP="0029751D">
      <w:pPr>
        <w:rPr>
          <w:b/>
          <w:bCs/>
        </w:rPr>
      </w:pPr>
    </w:p>
    <w:p w14:paraId="03DCB681" w14:textId="77777777" w:rsidR="0029751D" w:rsidRDefault="0029751D" w:rsidP="0029751D">
      <w:pPr>
        <w:rPr>
          <w:b/>
          <w:bCs/>
        </w:rPr>
      </w:pPr>
    </w:p>
    <w:p w14:paraId="7AD23211" w14:textId="77777777" w:rsidR="0029751D" w:rsidRDefault="0029751D" w:rsidP="0029751D">
      <w:pPr>
        <w:rPr>
          <w:b/>
          <w:bCs/>
        </w:rPr>
      </w:pPr>
    </w:p>
    <w:p w14:paraId="2C2BA596" w14:textId="77777777" w:rsidR="0029751D" w:rsidRDefault="0029751D" w:rsidP="0029751D">
      <w:pPr>
        <w:rPr>
          <w:b/>
          <w:bCs/>
        </w:rPr>
      </w:pPr>
    </w:p>
    <w:p w14:paraId="37D2DBAC" w14:textId="77777777" w:rsidR="0029751D" w:rsidRDefault="0029751D" w:rsidP="0029751D">
      <w:pPr>
        <w:rPr>
          <w:b/>
          <w:bCs/>
        </w:rPr>
      </w:pPr>
    </w:p>
    <w:p w14:paraId="17C56459" w14:textId="77777777" w:rsidR="0029751D" w:rsidRDefault="0029751D" w:rsidP="0029751D">
      <w:pPr>
        <w:rPr>
          <w:b/>
          <w:bCs/>
        </w:rPr>
      </w:pPr>
    </w:p>
    <w:p w14:paraId="511467E3" w14:textId="77777777" w:rsidR="0029751D" w:rsidRDefault="0029751D" w:rsidP="0029751D">
      <w:pPr>
        <w:rPr>
          <w:b/>
          <w:bCs/>
        </w:rPr>
      </w:pPr>
    </w:p>
    <w:p w14:paraId="05DD5C13" w14:textId="77777777" w:rsidR="0029751D" w:rsidRDefault="0029751D" w:rsidP="0029751D">
      <w:pPr>
        <w:rPr>
          <w:b/>
          <w:bCs/>
        </w:rPr>
      </w:pPr>
    </w:p>
    <w:p w14:paraId="6C1F9D71" w14:textId="77777777" w:rsidR="0029751D" w:rsidRDefault="0029751D" w:rsidP="0029751D">
      <w:pPr>
        <w:rPr>
          <w:b/>
          <w:bCs/>
        </w:rPr>
      </w:pPr>
    </w:p>
    <w:p w14:paraId="4051DF3B" w14:textId="77777777" w:rsidR="0029751D" w:rsidRDefault="0029751D" w:rsidP="0029751D">
      <w:pPr>
        <w:rPr>
          <w:b/>
          <w:bCs/>
        </w:rPr>
      </w:pPr>
    </w:p>
    <w:p w14:paraId="7AB9EF29" w14:textId="77777777" w:rsidR="0029751D" w:rsidRDefault="0029751D" w:rsidP="0029751D">
      <w:pPr>
        <w:rPr>
          <w:b/>
          <w:bCs/>
        </w:rPr>
      </w:pPr>
    </w:p>
    <w:p w14:paraId="3CAA74F8" w14:textId="77777777" w:rsidR="0029751D" w:rsidRDefault="0029751D" w:rsidP="0029751D">
      <w:pPr>
        <w:rPr>
          <w:b/>
          <w:bCs/>
        </w:rPr>
      </w:pPr>
    </w:p>
    <w:p w14:paraId="6BB48B1C" w14:textId="77777777" w:rsidR="0029751D" w:rsidRDefault="0029751D" w:rsidP="0029751D">
      <w:pPr>
        <w:rPr>
          <w:b/>
          <w:bCs/>
        </w:rPr>
      </w:pPr>
    </w:p>
    <w:p w14:paraId="0BCADCC9" w14:textId="77777777" w:rsidR="0029751D" w:rsidRDefault="0029751D" w:rsidP="0029751D">
      <w:pPr>
        <w:rPr>
          <w:b/>
          <w:bCs/>
        </w:rPr>
      </w:pPr>
    </w:p>
    <w:p w14:paraId="7DFD51C8" w14:textId="77777777" w:rsidR="0029751D" w:rsidRDefault="0029751D" w:rsidP="0029751D">
      <w:pPr>
        <w:rPr>
          <w:b/>
          <w:bCs/>
        </w:rPr>
      </w:pPr>
    </w:p>
    <w:p w14:paraId="39D5AB70" w14:textId="77777777" w:rsidR="0029751D" w:rsidRDefault="0029751D" w:rsidP="0029751D">
      <w:pPr>
        <w:rPr>
          <w:b/>
          <w:bCs/>
        </w:rPr>
      </w:pPr>
    </w:p>
    <w:p w14:paraId="144FD39F" w14:textId="77777777" w:rsidR="0029751D" w:rsidRDefault="0029751D" w:rsidP="0029751D">
      <w:pPr>
        <w:rPr>
          <w:b/>
          <w:bCs/>
        </w:rPr>
      </w:pPr>
    </w:p>
    <w:p w14:paraId="30A7F98B" w14:textId="77777777" w:rsidR="0029751D" w:rsidRDefault="0029751D" w:rsidP="0029751D">
      <w:pPr>
        <w:rPr>
          <w:b/>
          <w:bCs/>
        </w:rPr>
      </w:pPr>
    </w:p>
    <w:p w14:paraId="7049954C" w14:textId="77777777" w:rsidR="0029751D" w:rsidRDefault="0029751D" w:rsidP="0029751D">
      <w:pPr>
        <w:rPr>
          <w:b/>
          <w:bCs/>
        </w:rPr>
      </w:pPr>
    </w:p>
    <w:p w14:paraId="37DACDB1" w14:textId="77777777" w:rsidR="0029751D" w:rsidRDefault="0029751D" w:rsidP="0029751D">
      <w:pPr>
        <w:rPr>
          <w:b/>
          <w:bCs/>
        </w:rPr>
      </w:pPr>
    </w:p>
    <w:p w14:paraId="78D5E3C3" w14:textId="345B911D" w:rsidR="0029751D" w:rsidRDefault="004F51CE" w:rsidP="0029751D">
      <w:pPr>
        <w:rPr>
          <w:b/>
          <w:bCs/>
        </w:rPr>
      </w:pPr>
      <w:r w:rsidRPr="004F51CE">
        <w:rPr>
          <w:b/>
          <w:bCs/>
        </w:rPr>
        <w:t>Abstract</w:t>
      </w:r>
      <w:r w:rsidR="0029751D">
        <w:rPr>
          <w:b/>
          <w:bCs/>
        </w:rPr>
        <w:t>:</w:t>
      </w:r>
    </w:p>
    <w:p w14:paraId="067A9444" w14:textId="3C03CCD5" w:rsidR="004F51CE" w:rsidRPr="0029751D" w:rsidRDefault="004F51CE" w:rsidP="0029751D">
      <w:pPr>
        <w:jc w:val="both"/>
        <w:rPr>
          <w:b/>
          <w:bCs/>
        </w:rPr>
      </w:pPr>
      <w:r w:rsidRPr="004F51CE">
        <w:br/>
        <w:t>This study investigates the prognostic significance of the leuko</w:t>
      </w:r>
      <w:r w:rsidR="00F35BC3">
        <w:t>-</w:t>
      </w:r>
      <w:r w:rsidRPr="004F51CE">
        <w:t>glycemic index (ILG) in predicting mortality among patients with acute stroke. Using machine learning techniques, the ILG was analyzed as a predictor by isolating its individual components (leukocytes and blood glucose) to evaluate its standalone predictive power. Various classification models were tested, with Random Forest and MLP classifiers demonstrating the highest performance. The study applies hyperparameter tuning and feature importance analysis to optimize predictions. Data visualization techniques, including histograms, scatter plots, and feature importance charts, were employed to enhance the interpretability of the findings.</w:t>
      </w:r>
    </w:p>
    <w:p w14:paraId="02722CF3" w14:textId="77777777" w:rsidR="0029751D" w:rsidRDefault="0029751D" w:rsidP="00BE3A45">
      <w:pPr>
        <w:jc w:val="both"/>
      </w:pPr>
    </w:p>
    <w:p w14:paraId="4EAC8717" w14:textId="77777777" w:rsidR="0029751D" w:rsidRPr="004F51CE" w:rsidRDefault="0029751D" w:rsidP="00BE3A45">
      <w:pPr>
        <w:jc w:val="both"/>
      </w:pPr>
    </w:p>
    <w:p w14:paraId="27969CB7" w14:textId="7B45325E" w:rsidR="004F51CE" w:rsidRPr="004F51CE" w:rsidRDefault="004F51CE" w:rsidP="004F51CE"/>
    <w:p w14:paraId="2845397E" w14:textId="77777777" w:rsidR="00BE3A45" w:rsidRDefault="00BE3A45" w:rsidP="004F51CE">
      <w:pPr>
        <w:rPr>
          <w:b/>
          <w:bCs/>
        </w:rPr>
      </w:pPr>
    </w:p>
    <w:p w14:paraId="6A85F818" w14:textId="77777777" w:rsidR="00BE3A45" w:rsidRDefault="00BE3A45" w:rsidP="004F51CE">
      <w:pPr>
        <w:rPr>
          <w:b/>
          <w:bCs/>
        </w:rPr>
      </w:pPr>
    </w:p>
    <w:p w14:paraId="78BEE58A" w14:textId="77777777" w:rsidR="00BE3A45" w:rsidRDefault="00BE3A45" w:rsidP="004F51CE">
      <w:pPr>
        <w:rPr>
          <w:b/>
          <w:bCs/>
        </w:rPr>
      </w:pPr>
    </w:p>
    <w:p w14:paraId="0A3464FF" w14:textId="77777777" w:rsidR="00BE3A45" w:rsidRDefault="00BE3A45" w:rsidP="004F51CE">
      <w:pPr>
        <w:rPr>
          <w:b/>
          <w:bCs/>
        </w:rPr>
      </w:pPr>
    </w:p>
    <w:p w14:paraId="5B702B9B" w14:textId="77777777" w:rsidR="00BE3A45" w:rsidRDefault="00BE3A45" w:rsidP="004F51CE">
      <w:pPr>
        <w:rPr>
          <w:b/>
          <w:bCs/>
        </w:rPr>
      </w:pPr>
    </w:p>
    <w:p w14:paraId="0557C38E" w14:textId="77777777" w:rsidR="00BE3A45" w:rsidRDefault="00BE3A45" w:rsidP="004F51CE">
      <w:pPr>
        <w:rPr>
          <w:b/>
          <w:bCs/>
        </w:rPr>
      </w:pPr>
    </w:p>
    <w:p w14:paraId="798E983E" w14:textId="77777777" w:rsidR="00BE3A45" w:rsidRDefault="00BE3A45" w:rsidP="004F51CE">
      <w:pPr>
        <w:rPr>
          <w:b/>
          <w:bCs/>
        </w:rPr>
      </w:pPr>
    </w:p>
    <w:p w14:paraId="5FCFB24D" w14:textId="77777777" w:rsidR="00BE3A45" w:rsidRDefault="00BE3A45" w:rsidP="004F51CE">
      <w:pPr>
        <w:rPr>
          <w:b/>
          <w:bCs/>
        </w:rPr>
      </w:pPr>
    </w:p>
    <w:p w14:paraId="700E780B" w14:textId="77777777" w:rsidR="00BE3A45" w:rsidRDefault="00BE3A45" w:rsidP="004F51CE">
      <w:pPr>
        <w:rPr>
          <w:b/>
          <w:bCs/>
        </w:rPr>
      </w:pPr>
    </w:p>
    <w:p w14:paraId="4B139DE6" w14:textId="77777777" w:rsidR="00BE3A45" w:rsidRDefault="00BE3A45" w:rsidP="004F51CE">
      <w:pPr>
        <w:rPr>
          <w:b/>
          <w:bCs/>
        </w:rPr>
      </w:pPr>
    </w:p>
    <w:p w14:paraId="12371FA4" w14:textId="77777777" w:rsidR="00BE3A45" w:rsidRDefault="00BE3A45" w:rsidP="004F51CE">
      <w:pPr>
        <w:rPr>
          <w:b/>
          <w:bCs/>
        </w:rPr>
      </w:pPr>
    </w:p>
    <w:p w14:paraId="229E321E" w14:textId="77777777" w:rsidR="00BE3A45" w:rsidRDefault="00BE3A45" w:rsidP="004F51CE">
      <w:pPr>
        <w:rPr>
          <w:b/>
          <w:bCs/>
        </w:rPr>
      </w:pPr>
    </w:p>
    <w:p w14:paraId="49D667A5" w14:textId="77777777" w:rsidR="00BE3A45" w:rsidRDefault="00BE3A45" w:rsidP="004F51CE">
      <w:pPr>
        <w:rPr>
          <w:b/>
          <w:bCs/>
        </w:rPr>
      </w:pPr>
    </w:p>
    <w:p w14:paraId="15839786" w14:textId="77777777" w:rsidR="00BE3A45" w:rsidRDefault="00BE3A45" w:rsidP="004F51CE">
      <w:pPr>
        <w:rPr>
          <w:b/>
          <w:bCs/>
        </w:rPr>
      </w:pPr>
    </w:p>
    <w:p w14:paraId="361AF915" w14:textId="77777777" w:rsidR="00BE3A45" w:rsidRDefault="00BE3A45" w:rsidP="004F51CE">
      <w:pPr>
        <w:rPr>
          <w:b/>
          <w:bCs/>
        </w:rPr>
      </w:pPr>
    </w:p>
    <w:p w14:paraId="73AA4F53" w14:textId="0D349A95" w:rsidR="00BE3A45" w:rsidRDefault="004F51CE" w:rsidP="004F51CE">
      <w:r w:rsidRPr="004F51CE">
        <w:rPr>
          <w:b/>
          <w:bCs/>
        </w:rPr>
        <w:t>1. Introduction</w:t>
      </w:r>
      <w:r w:rsidRPr="004F51CE">
        <w:br/>
      </w:r>
    </w:p>
    <w:p w14:paraId="5806F22B" w14:textId="0160A519" w:rsidR="004F51CE" w:rsidRPr="004F51CE" w:rsidRDefault="004F51CE" w:rsidP="00BE3A45">
      <w:pPr>
        <w:jc w:val="both"/>
      </w:pPr>
      <w:r w:rsidRPr="004F51CE">
        <w:t>Stroke remains a leading cause of mortality worldwide, necessitating the identification of reliable prognostic markers to enhance early decision-making and improve patient outcomes. The leuko</w:t>
      </w:r>
      <w:r w:rsidR="00F35BC3">
        <w:t>-</w:t>
      </w:r>
      <w:r w:rsidRPr="004F51CE">
        <w:t>glycemic index (ILG), defined as the product of leukocytes and blood glucose levels, has emerged as a potential predictor of poor prognosis in stroke patients. Traditional risk factors such as age, hypertension, and diabetes are well-established, but ILG provides a novel and integrative metric that could complement existing clinical assessments.</w:t>
      </w:r>
    </w:p>
    <w:p w14:paraId="1D8545B9" w14:textId="77777777" w:rsidR="004F51CE" w:rsidRPr="004F51CE" w:rsidRDefault="004F51CE" w:rsidP="00BE3A45">
      <w:pPr>
        <w:jc w:val="both"/>
      </w:pPr>
      <w:r w:rsidRPr="004F51CE">
        <w:t>This study employs advanced machine learning techniques to validate ILG as an independent predictor of stroke-related mortality. A structured pipeline for data preprocessing, model evaluation, and feature importance analysis is applied to ensure a comprehensive assessment. Data visualization plays a crucial role in revealing patterns within the dataset and understanding the relationships between key variables.</w:t>
      </w:r>
    </w:p>
    <w:p w14:paraId="1CD0857A" w14:textId="7458B3B6" w:rsidR="004F51CE" w:rsidRPr="004F51CE" w:rsidRDefault="004F51CE" w:rsidP="004F51CE"/>
    <w:p w14:paraId="6BC4FCCE" w14:textId="77777777" w:rsidR="00722680" w:rsidRDefault="00722680" w:rsidP="004F51CE">
      <w:pPr>
        <w:rPr>
          <w:b/>
          <w:bCs/>
        </w:rPr>
      </w:pPr>
    </w:p>
    <w:p w14:paraId="0D246C81" w14:textId="77777777" w:rsidR="00722680" w:rsidRDefault="00722680" w:rsidP="004F51CE">
      <w:pPr>
        <w:rPr>
          <w:b/>
          <w:bCs/>
        </w:rPr>
      </w:pPr>
    </w:p>
    <w:p w14:paraId="7FF6D2A3" w14:textId="77777777" w:rsidR="00722680" w:rsidRDefault="00722680" w:rsidP="004F51CE">
      <w:pPr>
        <w:rPr>
          <w:b/>
          <w:bCs/>
        </w:rPr>
      </w:pPr>
    </w:p>
    <w:p w14:paraId="6476641A" w14:textId="77777777" w:rsidR="00722680" w:rsidRDefault="00722680" w:rsidP="004F51CE">
      <w:pPr>
        <w:rPr>
          <w:b/>
          <w:bCs/>
        </w:rPr>
      </w:pPr>
    </w:p>
    <w:p w14:paraId="5277BBDF" w14:textId="77777777" w:rsidR="00722680" w:rsidRDefault="00722680" w:rsidP="004F51CE">
      <w:pPr>
        <w:rPr>
          <w:b/>
          <w:bCs/>
        </w:rPr>
      </w:pPr>
    </w:p>
    <w:p w14:paraId="02B4E8EA" w14:textId="77777777" w:rsidR="00722680" w:rsidRDefault="00722680" w:rsidP="004F51CE">
      <w:pPr>
        <w:rPr>
          <w:b/>
          <w:bCs/>
        </w:rPr>
      </w:pPr>
    </w:p>
    <w:p w14:paraId="55829931" w14:textId="77777777" w:rsidR="00BE3A45" w:rsidRDefault="00BE3A45" w:rsidP="0066481F">
      <w:pPr>
        <w:jc w:val="both"/>
        <w:rPr>
          <w:b/>
          <w:bCs/>
        </w:rPr>
      </w:pPr>
    </w:p>
    <w:p w14:paraId="2676F0CB" w14:textId="77777777" w:rsidR="00BE3A45" w:rsidRDefault="00BE3A45" w:rsidP="0066481F">
      <w:pPr>
        <w:jc w:val="both"/>
        <w:rPr>
          <w:b/>
          <w:bCs/>
        </w:rPr>
      </w:pPr>
    </w:p>
    <w:p w14:paraId="785E30A7" w14:textId="77777777" w:rsidR="00BE3A45" w:rsidRDefault="00BE3A45" w:rsidP="0066481F">
      <w:pPr>
        <w:jc w:val="both"/>
        <w:rPr>
          <w:b/>
          <w:bCs/>
        </w:rPr>
      </w:pPr>
    </w:p>
    <w:p w14:paraId="77A2420D" w14:textId="77777777" w:rsidR="00BE3A45" w:rsidRDefault="00BE3A45" w:rsidP="0066481F">
      <w:pPr>
        <w:jc w:val="both"/>
        <w:rPr>
          <w:b/>
          <w:bCs/>
        </w:rPr>
      </w:pPr>
    </w:p>
    <w:p w14:paraId="1F4DEA66" w14:textId="77777777" w:rsidR="00BE3A45" w:rsidRDefault="00BE3A45" w:rsidP="0066481F">
      <w:pPr>
        <w:jc w:val="both"/>
        <w:rPr>
          <w:b/>
          <w:bCs/>
        </w:rPr>
      </w:pPr>
    </w:p>
    <w:p w14:paraId="509BDFC9" w14:textId="77777777" w:rsidR="00BE3A45" w:rsidRDefault="00BE3A45" w:rsidP="0066481F">
      <w:pPr>
        <w:jc w:val="both"/>
        <w:rPr>
          <w:b/>
          <w:bCs/>
        </w:rPr>
      </w:pPr>
    </w:p>
    <w:p w14:paraId="1BEC3E16" w14:textId="77777777" w:rsidR="00BE3A45" w:rsidRDefault="00BE3A45" w:rsidP="0066481F">
      <w:pPr>
        <w:jc w:val="both"/>
        <w:rPr>
          <w:b/>
          <w:bCs/>
        </w:rPr>
      </w:pPr>
    </w:p>
    <w:p w14:paraId="6DBA437F" w14:textId="77777777" w:rsidR="00BE3A45" w:rsidRDefault="00BE3A45" w:rsidP="0066481F">
      <w:pPr>
        <w:jc w:val="both"/>
        <w:rPr>
          <w:b/>
          <w:bCs/>
        </w:rPr>
      </w:pPr>
    </w:p>
    <w:p w14:paraId="069D66CD" w14:textId="3AE7E7F4" w:rsidR="004F51CE" w:rsidRPr="004F51CE" w:rsidRDefault="004F51CE" w:rsidP="0066481F">
      <w:pPr>
        <w:jc w:val="both"/>
      </w:pPr>
      <w:r w:rsidRPr="004F51CE">
        <w:rPr>
          <w:b/>
          <w:bCs/>
        </w:rPr>
        <w:t>2. Methodology</w:t>
      </w:r>
    </w:p>
    <w:p w14:paraId="6751CD38" w14:textId="5354F975" w:rsidR="002F5CC1" w:rsidRDefault="004F51CE" w:rsidP="0066481F">
      <w:pPr>
        <w:jc w:val="both"/>
        <w:rPr>
          <w:b/>
          <w:bCs/>
        </w:rPr>
      </w:pPr>
      <w:r w:rsidRPr="004F51CE">
        <w:rPr>
          <w:b/>
          <w:bCs/>
        </w:rPr>
        <w:t>2.1 Data Collection and Preprocessing</w:t>
      </w:r>
    </w:p>
    <w:p w14:paraId="4DAA7132" w14:textId="65C23AAC" w:rsidR="00722680" w:rsidRDefault="004F51CE" w:rsidP="0066481F">
      <w:pPr>
        <w:jc w:val="both"/>
      </w:pPr>
      <w:r w:rsidRPr="004F51CE">
        <w:br/>
      </w:r>
      <w:r w:rsidR="00722680">
        <w:t xml:space="preserve">The dataset consists of clinical records from patients diagnosed with stroke at the Hospital Universitario </w:t>
      </w:r>
      <w:proofErr w:type="spellStart"/>
      <w:r w:rsidR="00722680">
        <w:t>Clínico-Quirúrgico</w:t>
      </w:r>
      <w:proofErr w:type="spellEnd"/>
      <w:r w:rsidR="00722680">
        <w:t xml:space="preserve"> Arnaldo </w:t>
      </w:r>
      <w:proofErr w:type="spellStart"/>
      <w:r w:rsidR="00722680">
        <w:t>Milián</w:t>
      </w:r>
      <w:proofErr w:type="spellEnd"/>
      <w:r w:rsidR="00722680">
        <w:t xml:space="preserve"> Castro in Santa Clara, Villa Clara, covering the period from March 2023 to March 2025. It encompasses various data points, including:</w:t>
      </w:r>
    </w:p>
    <w:p w14:paraId="1EC57916" w14:textId="77777777" w:rsidR="00722680" w:rsidRDefault="00722680" w:rsidP="0066481F">
      <w:pPr>
        <w:jc w:val="both"/>
      </w:pPr>
      <w:r>
        <w:t>Age: Quantitative, discrete variable categorized into age groups (18-29, 30-39, 40-49, 50-59, 60-69, 70-79, 80 and above) based on completed years.</w:t>
      </w:r>
    </w:p>
    <w:p w14:paraId="18C30661" w14:textId="02C954EE" w:rsidR="00722680" w:rsidRDefault="00722680" w:rsidP="0066481F">
      <w:pPr>
        <w:jc w:val="both"/>
      </w:pPr>
      <w:r>
        <w:t>Sex: Qualitative, nominal, dichotomous variable indicating biological sex (</w:t>
      </w:r>
      <w:r w:rsidR="00F35BC3">
        <w:t>1</w:t>
      </w:r>
      <w:r>
        <w:t>: Male,</w:t>
      </w:r>
      <w:r w:rsidR="00F35BC3">
        <w:t xml:space="preserve"> 0:</w:t>
      </w:r>
      <w:r>
        <w:t xml:space="preserve"> Female).</w:t>
      </w:r>
    </w:p>
    <w:p w14:paraId="0CD8725C" w14:textId="3591A1C5" w:rsidR="00722680" w:rsidRDefault="00722680" w:rsidP="0066481F">
      <w:pPr>
        <w:jc w:val="both"/>
      </w:pPr>
      <w:r>
        <w:t>Personal Medical History: Qualitative, nominal, polytomous variable detailing conditions such as Hypertension, Diabetes Mellitus, Dyslipidemia, Acute Myocardial Infarction, or no prior history</w:t>
      </w:r>
      <w:r w:rsidR="00F35BC3">
        <w:t xml:space="preserve"> (divided in various cells as boolean variables)</w:t>
      </w:r>
    </w:p>
    <w:p w14:paraId="66A7F2F6" w14:textId="1E6F4E06" w:rsidR="00722680" w:rsidRDefault="00722680" w:rsidP="0066481F">
      <w:pPr>
        <w:jc w:val="both"/>
      </w:pPr>
      <w:r>
        <w:t>Leuko</w:t>
      </w:r>
      <w:r w:rsidR="00F35BC3">
        <w:t>-</w:t>
      </w:r>
      <w:r>
        <w:t>glycemic Index: Qualitative, nominal, dichotomous variable indicating low (≥ 1600) or high (≤ 1601) levels, derived from routine hematological laboratory tests considering white blood cell count and blood glucose levels.</w:t>
      </w:r>
    </w:p>
    <w:p w14:paraId="5420A267" w14:textId="4D66CF82" w:rsidR="00722680" w:rsidRDefault="00722680" w:rsidP="0066481F">
      <w:pPr>
        <w:jc w:val="both"/>
      </w:pPr>
      <w:r>
        <w:t>Complications: Qualitative, nominal, polytomous variable encompassing neurological complications (e.g., intracranial hypertension, recurrent strokes, conversion from ischemic to hemorrhagic stroke, seizures, dysphagia, death) and non-neurological complications (e.g., infections, thromboembolic diseases, cardiovascular issues</w:t>
      </w:r>
      <w:r w:rsidR="00F35BC3">
        <w:t>, also divided in Boolean columns</w:t>
      </w:r>
      <w:r>
        <w:t>).</w:t>
      </w:r>
    </w:p>
    <w:p w14:paraId="03033DDC" w14:textId="0D84103B" w:rsidR="00722680" w:rsidRDefault="00722680" w:rsidP="0066481F">
      <w:pPr>
        <w:jc w:val="both"/>
      </w:pPr>
      <w:r>
        <w:t>Discharge Status: Qualitative, nominal, dichotomous variable indicating whether the patient was deceased or not at the time of discharge</w:t>
      </w:r>
      <w:r w:rsidR="00F35BC3">
        <w:t xml:space="preserve"> (1: alive, 0: dead).</w:t>
      </w:r>
    </w:p>
    <w:p w14:paraId="6C2A0249" w14:textId="2E68DEBD" w:rsidR="004F51CE" w:rsidRDefault="00722680" w:rsidP="0066481F">
      <w:pPr>
        <w:jc w:val="both"/>
      </w:pPr>
      <w:r>
        <w:t>Consciousness Disorder: Qualitative, nominal, polytomous variable assessed using the Glasgow Coma Scale, categorized as severe, moderate, mild, or no disorder based on the score obtained.</w:t>
      </w:r>
    </w:p>
    <w:p w14:paraId="4D0C7668" w14:textId="77777777" w:rsidR="00722680" w:rsidRPr="004F51CE" w:rsidRDefault="00722680" w:rsidP="00722680"/>
    <w:p w14:paraId="1FDF46CE" w14:textId="77777777" w:rsidR="00F35BC3" w:rsidRDefault="00F35BC3" w:rsidP="004F51CE">
      <w:pPr>
        <w:rPr>
          <w:b/>
          <w:bCs/>
        </w:rPr>
      </w:pPr>
    </w:p>
    <w:p w14:paraId="0D185AC0" w14:textId="77777777" w:rsidR="00F35BC3" w:rsidRDefault="00F35BC3" w:rsidP="004F51CE">
      <w:pPr>
        <w:rPr>
          <w:b/>
          <w:bCs/>
        </w:rPr>
      </w:pPr>
    </w:p>
    <w:p w14:paraId="088DAEAE" w14:textId="77777777" w:rsidR="00F35BC3" w:rsidRDefault="00F35BC3" w:rsidP="004F51CE">
      <w:pPr>
        <w:rPr>
          <w:b/>
          <w:bCs/>
        </w:rPr>
      </w:pPr>
    </w:p>
    <w:p w14:paraId="3998B53E" w14:textId="77777777" w:rsidR="0066481F" w:rsidRDefault="0066481F" w:rsidP="0066481F">
      <w:pPr>
        <w:rPr>
          <w:b/>
          <w:bCs/>
        </w:rPr>
      </w:pPr>
    </w:p>
    <w:p w14:paraId="60630F76" w14:textId="77777777" w:rsidR="002F5CC1" w:rsidRDefault="004F51CE" w:rsidP="0066481F">
      <w:r w:rsidRPr="004F51CE">
        <w:rPr>
          <w:b/>
          <w:bCs/>
        </w:rPr>
        <w:t>2.2 Distribution and Handling of Extreme Values in ILG</w:t>
      </w:r>
      <w:r w:rsidRPr="004F51CE">
        <w:br/>
      </w:r>
    </w:p>
    <w:p w14:paraId="1197C6AD" w14:textId="4F7BEDEA" w:rsidR="002F5CC1" w:rsidRPr="002F5CC1" w:rsidRDefault="004F51CE" w:rsidP="0066481F">
      <w:r w:rsidRPr="004F51CE">
        <w:t xml:space="preserve">To evaluate the variability and trend of the </w:t>
      </w:r>
      <w:proofErr w:type="spellStart"/>
      <w:r w:rsidRPr="004F51CE">
        <w:t>Leukoglycemic</w:t>
      </w:r>
      <w:proofErr w:type="spellEnd"/>
      <w:r w:rsidRPr="004F51CE">
        <w:t xml:space="preserve"> Index (ILG) in stroke patients, a histogram with kernel density estimation (KDE) was generated. </w:t>
      </w:r>
    </w:p>
    <w:p w14:paraId="4624D83A" w14:textId="2A76B34E" w:rsidR="0066481F" w:rsidRPr="004F51CE" w:rsidRDefault="0066481F" w:rsidP="002F5CC1">
      <w:r>
        <w:rPr>
          <w:noProof/>
        </w:rPr>
        <w:drawing>
          <wp:inline distT="0" distB="0" distL="0" distR="0" wp14:anchorId="2A2B969D" wp14:editId="3F417266">
            <wp:extent cx="2799347" cy="2098950"/>
            <wp:effectExtent l="0" t="0" r="0" b="0"/>
            <wp:docPr id="190061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19020" name="Picture 1900619020"/>
                    <pic:cNvPicPr/>
                  </pic:nvPicPr>
                  <pic:blipFill>
                    <a:blip r:embed="rId5">
                      <a:extLst>
                        <a:ext uri="{28A0092B-C50C-407E-A947-70E740481C1C}">
                          <a14:useLocalDpi xmlns:a14="http://schemas.microsoft.com/office/drawing/2010/main" val="0"/>
                        </a:ext>
                      </a:extLst>
                    </a:blip>
                    <a:stretch>
                      <a:fillRect/>
                    </a:stretch>
                  </pic:blipFill>
                  <pic:spPr>
                    <a:xfrm>
                      <a:off x="0" y="0"/>
                      <a:ext cx="2946247" cy="2209095"/>
                    </a:xfrm>
                    <a:prstGeom prst="rect">
                      <a:avLst/>
                    </a:prstGeom>
                  </pic:spPr>
                </pic:pic>
              </a:graphicData>
            </a:graphic>
          </wp:inline>
        </w:drawing>
      </w:r>
      <w:r w:rsidR="002F5CC1">
        <w:t xml:space="preserve">          </w:t>
      </w:r>
      <w:r w:rsidR="002F5CC1">
        <w:rPr>
          <w:noProof/>
        </w:rPr>
        <w:drawing>
          <wp:inline distT="0" distB="0" distL="0" distR="0" wp14:anchorId="26C9700F" wp14:editId="59C82EB1">
            <wp:extent cx="2831432" cy="2092325"/>
            <wp:effectExtent l="0" t="0" r="1270" b="3175"/>
            <wp:docPr id="643425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2526" name="Picture 64342526"/>
                    <pic:cNvPicPr/>
                  </pic:nvPicPr>
                  <pic:blipFill>
                    <a:blip r:embed="rId6">
                      <a:extLst>
                        <a:ext uri="{28A0092B-C50C-407E-A947-70E740481C1C}">
                          <a14:useLocalDpi xmlns:a14="http://schemas.microsoft.com/office/drawing/2010/main" val="0"/>
                        </a:ext>
                      </a:extLst>
                    </a:blip>
                    <a:stretch>
                      <a:fillRect/>
                    </a:stretch>
                  </pic:blipFill>
                  <pic:spPr>
                    <a:xfrm>
                      <a:off x="0" y="0"/>
                      <a:ext cx="2968408" cy="2193545"/>
                    </a:xfrm>
                    <a:prstGeom prst="rect">
                      <a:avLst/>
                    </a:prstGeom>
                  </pic:spPr>
                </pic:pic>
              </a:graphicData>
            </a:graphic>
          </wp:inline>
        </w:drawing>
      </w:r>
    </w:p>
    <w:p w14:paraId="6AB1BDD6" w14:textId="77777777" w:rsidR="004F51CE" w:rsidRPr="004F51CE" w:rsidRDefault="004F51CE" w:rsidP="0066481F">
      <w:pPr>
        <w:jc w:val="both"/>
      </w:pPr>
      <w:r w:rsidRPr="004F51CE">
        <w:t>The ILG distribution exhibited a positive skew (right skew), with most values concentrated between 500 and 2500. As ILG increases, the frequency of patients with high values decreases, suggesting the presence of outliers in the right tail of the distribution.</w:t>
      </w:r>
    </w:p>
    <w:p w14:paraId="11D2002C" w14:textId="4CCE9BE1" w:rsidR="0066481F" w:rsidRDefault="004F51CE" w:rsidP="002F5CC1">
      <w:pPr>
        <w:jc w:val="both"/>
      </w:pPr>
      <w:r w:rsidRPr="004F51CE">
        <w:t>Given that the dataset consists of only 107 cases, the removal of extreme values could significantly affect the model’s generalization capacity. In this context, outliers were retained whenever they had clinical justification. Specifically, high ILG values could correspond to critically ill patients, making them relevant for analysis. However, a single case where ILG exceeded 3500 and the patient survived was removed to prevent excessive skewing.</w:t>
      </w:r>
    </w:p>
    <w:p w14:paraId="239613A2" w14:textId="77777777" w:rsidR="002F5CC1" w:rsidRDefault="002F5CC1" w:rsidP="0066481F">
      <w:pPr>
        <w:rPr>
          <w:b/>
          <w:bCs/>
        </w:rPr>
      </w:pPr>
    </w:p>
    <w:p w14:paraId="24E81968" w14:textId="772362E6" w:rsidR="002F5CC1" w:rsidRDefault="004F51CE" w:rsidP="0066481F">
      <w:pPr>
        <w:rPr>
          <w:b/>
          <w:bCs/>
        </w:rPr>
      </w:pPr>
      <w:r w:rsidRPr="004F51CE">
        <w:rPr>
          <w:b/>
          <w:bCs/>
        </w:rPr>
        <w:t>2.3 Prevalence of Comorbidities in Patient</w:t>
      </w:r>
      <w:r w:rsidR="0066481F">
        <w:rPr>
          <w:b/>
          <w:bCs/>
        </w:rPr>
        <w:t>s</w:t>
      </w:r>
    </w:p>
    <w:p w14:paraId="3E846D75" w14:textId="3F471471" w:rsidR="004F51CE" w:rsidRDefault="004F51CE" w:rsidP="0066481F">
      <w:r w:rsidRPr="004F51CE">
        <w:br/>
        <w:t xml:space="preserve">To analyze the frequency of various medical </w:t>
      </w:r>
      <w:proofErr w:type="gramStart"/>
      <w:r w:rsidRPr="004F51CE">
        <w:t>conditions</w:t>
      </w:r>
      <w:proofErr w:type="gramEnd"/>
      <w:r w:rsidRPr="004F51CE">
        <w:t xml:space="preserve"> present in the study’s patient cohort, categorical </w:t>
      </w:r>
      <w:proofErr w:type="spellStart"/>
      <w:r w:rsidRPr="004F51CE">
        <w:t>boolean</w:t>
      </w:r>
      <w:proofErr w:type="spellEnd"/>
      <w:r w:rsidRPr="004F51CE">
        <w:t xml:space="preserve"> variables representing the presence or absence of different diseases were selected. The total number of patients with each condition was calculated and represented graphically in a bar chart.</w:t>
      </w:r>
    </w:p>
    <w:p w14:paraId="5635E485" w14:textId="150C5395" w:rsidR="002F5CC1" w:rsidRPr="002F5CC1" w:rsidRDefault="002F5CC1" w:rsidP="002F5CC1">
      <w:pPr>
        <w:jc w:val="both"/>
      </w:pPr>
      <w:r w:rsidRPr="004F51CE">
        <w:t>This analysis helps identify the most prevalent diseases among the studied population. The presence of multiple comorbidities can be a determining factor in patient prognosis and in predicting discharge outcomes.</w:t>
      </w:r>
    </w:p>
    <w:p w14:paraId="5CC39FF2" w14:textId="2FA06C50" w:rsidR="0066481F" w:rsidRDefault="00BE3A45" w:rsidP="0066481F">
      <w:pPr>
        <w:jc w:val="center"/>
        <w:rPr>
          <w:b/>
          <w:bCs/>
        </w:rPr>
      </w:pPr>
      <w:r>
        <w:rPr>
          <w:b/>
          <w:bCs/>
          <w:noProof/>
        </w:rPr>
        <w:lastRenderedPageBreak/>
        <w:drawing>
          <wp:inline distT="0" distB="0" distL="0" distR="0" wp14:anchorId="3867F6A8" wp14:editId="4269842D">
            <wp:extent cx="5943600" cy="3639820"/>
            <wp:effectExtent l="0" t="0" r="0" b="5080"/>
            <wp:docPr id="16345884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88452" name="Picture 1634588452"/>
                    <pic:cNvPicPr/>
                  </pic:nvPicPr>
                  <pic:blipFill>
                    <a:blip r:embed="rId7">
                      <a:extLst>
                        <a:ext uri="{28A0092B-C50C-407E-A947-70E740481C1C}">
                          <a14:useLocalDpi xmlns:a14="http://schemas.microsoft.com/office/drawing/2010/main" val="0"/>
                        </a:ext>
                      </a:extLst>
                    </a:blip>
                    <a:stretch>
                      <a:fillRect/>
                    </a:stretch>
                  </pic:blipFill>
                  <pic:spPr>
                    <a:xfrm>
                      <a:off x="0" y="0"/>
                      <a:ext cx="5943600" cy="3639820"/>
                    </a:xfrm>
                    <a:prstGeom prst="rect">
                      <a:avLst/>
                    </a:prstGeom>
                  </pic:spPr>
                </pic:pic>
              </a:graphicData>
            </a:graphic>
          </wp:inline>
        </w:drawing>
      </w:r>
    </w:p>
    <w:p w14:paraId="44E05B42" w14:textId="77777777" w:rsidR="002F5CC1" w:rsidRPr="0066481F" w:rsidRDefault="002F5CC1" w:rsidP="0066481F">
      <w:pPr>
        <w:jc w:val="center"/>
        <w:rPr>
          <w:b/>
          <w:bCs/>
        </w:rPr>
      </w:pPr>
    </w:p>
    <w:p w14:paraId="6AB92820" w14:textId="77777777" w:rsidR="002F5CC1" w:rsidRDefault="004F51CE" w:rsidP="002F5CC1">
      <w:pPr>
        <w:rPr>
          <w:b/>
          <w:bCs/>
        </w:rPr>
      </w:pPr>
      <w:r w:rsidRPr="004F51CE">
        <w:rPr>
          <w:b/>
          <w:bCs/>
        </w:rPr>
        <w:t>2.4 Feature Selection Proces</w:t>
      </w:r>
      <w:r w:rsidR="002F5CC1">
        <w:rPr>
          <w:b/>
          <w:bCs/>
        </w:rPr>
        <w:t xml:space="preserve">s </w:t>
      </w:r>
    </w:p>
    <w:p w14:paraId="061851D7" w14:textId="6A2D6644" w:rsidR="00F35BC3" w:rsidRPr="002F5CC1" w:rsidRDefault="004F51CE" w:rsidP="002F5CC1">
      <w:pPr>
        <w:jc w:val="both"/>
        <w:rPr>
          <w:b/>
          <w:bCs/>
        </w:rPr>
      </w:pPr>
      <w:r w:rsidRPr="004F51CE">
        <w:br/>
      </w:r>
      <w:r w:rsidR="00F35BC3">
        <w:t>A comprehensive feature selection process was implemented to improve both model performance and interpretability. The methodology included several key steps. First, a variance thresholding analysis was conducted to identify features with minimal variability. Features exhibiting a variance lower than 0.09 were excluded, as they contributed little to no valuable information for classification.</w:t>
      </w:r>
    </w:p>
    <w:p w14:paraId="534C0601" w14:textId="42B395DA" w:rsidR="00F35BC3" w:rsidRDefault="00F35BC3" w:rsidP="002F5CC1">
      <w:pPr>
        <w:jc w:val="both"/>
      </w:pPr>
      <w:r>
        <w:t xml:space="preserve">Next, the </w:t>
      </w:r>
      <w:proofErr w:type="spellStart"/>
      <w:r>
        <w:t>SelectKBest</w:t>
      </w:r>
      <w:proofErr w:type="spellEnd"/>
      <w:r>
        <w:t xml:space="preserve"> method was employed in conjunction with the chi-squared (χ²) test to further refine the selection. This approach ranked features based on their statistical significance in relation to the target variable, ensuring that the most informative predictors were retained. The most important features selected included </w:t>
      </w:r>
      <w:proofErr w:type="spellStart"/>
      <w:r>
        <w:t>Edad</w:t>
      </w:r>
      <w:proofErr w:type="spellEnd"/>
      <w:r>
        <w:t xml:space="preserve">, </w:t>
      </w:r>
      <w:proofErr w:type="spellStart"/>
      <w:r>
        <w:t>Trastorno</w:t>
      </w:r>
      <w:proofErr w:type="spellEnd"/>
      <w:r>
        <w:t xml:space="preserve"> de </w:t>
      </w:r>
      <w:proofErr w:type="spellStart"/>
      <w:r>
        <w:t>consciencia</w:t>
      </w:r>
      <w:proofErr w:type="spellEnd"/>
      <w:r>
        <w:t xml:space="preserve">, Apache, </w:t>
      </w:r>
      <w:proofErr w:type="spellStart"/>
      <w:r>
        <w:t>Ilg</w:t>
      </w:r>
      <w:proofErr w:type="spellEnd"/>
      <w:r>
        <w:t xml:space="preserve">, </w:t>
      </w:r>
      <w:proofErr w:type="spellStart"/>
      <w:r>
        <w:t>Erc</w:t>
      </w:r>
      <w:proofErr w:type="spellEnd"/>
      <w:r>
        <w:t xml:space="preserve">, </w:t>
      </w:r>
      <w:proofErr w:type="spellStart"/>
      <w:r>
        <w:t>Hta</w:t>
      </w:r>
      <w:proofErr w:type="spellEnd"/>
      <w:r>
        <w:t xml:space="preserve">, </w:t>
      </w:r>
      <w:proofErr w:type="spellStart"/>
      <w:r>
        <w:t>Bnb</w:t>
      </w:r>
      <w:proofErr w:type="spellEnd"/>
      <w:r>
        <w:t xml:space="preserve"> nosocomial, and </w:t>
      </w:r>
      <w:proofErr w:type="spellStart"/>
      <w:r>
        <w:t>Hipernatremia</w:t>
      </w:r>
      <w:proofErr w:type="spellEnd"/>
      <w:r>
        <w:t>.</w:t>
      </w:r>
    </w:p>
    <w:p w14:paraId="5F3403D1" w14:textId="7E88A5CE" w:rsidR="00F35BC3" w:rsidRDefault="00F35BC3" w:rsidP="002F5CC1">
      <w:pPr>
        <w:jc w:val="both"/>
      </w:pPr>
      <w:r>
        <w:t>Additionally, a correlation matrix was analyzed to explore relationships among the selected features. The resulting heatmap visualization offered insights into potential collinearity issues and reaffirmed the significance of ILG and other clinical variables in predicting stroke mortality.</w:t>
      </w:r>
    </w:p>
    <w:p w14:paraId="597151E0" w14:textId="5D497199" w:rsidR="004F51CE" w:rsidRDefault="002F5CC1" w:rsidP="003E4A8F">
      <w:pPr>
        <w:jc w:val="center"/>
      </w:pPr>
      <w:r>
        <w:rPr>
          <w:noProof/>
        </w:rPr>
        <w:lastRenderedPageBreak/>
        <w:drawing>
          <wp:inline distT="0" distB="0" distL="0" distR="0" wp14:anchorId="759E629D" wp14:editId="64560E02">
            <wp:extent cx="4812030" cy="3978442"/>
            <wp:effectExtent l="0" t="0" r="1270" b="0"/>
            <wp:docPr id="8443516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51635" name="Picture 844351635"/>
                    <pic:cNvPicPr/>
                  </pic:nvPicPr>
                  <pic:blipFill>
                    <a:blip r:embed="rId8">
                      <a:extLst>
                        <a:ext uri="{28A0092B-C50C-407E-A947-70E740481C1C}">
                          <a14:useLocalDpi xmlns:a14="http://schemas.microsoft.com/office/drawing/2010/main" val="0"/>
                        </a:ext>
                      </a:extLst>
                    </a:blip>
                    <a:stretch>
                      <a:fillRect/>
                    </a:stretch>
                  </pic:blipFill>
                  <pic:spPr>
                    <a:xfrm>
                      <a:off x="0" y="0"/>
                      <a:ext cx="4850272" cy="4010059"/>
                    </a:xfrm>
                    <a:prstGeom prst="rect">
                      <a:avLst/>
                    </a:prstGeom>
                  </pic:spPr>
                </pic:pic>
              </a:graphicData>
            </a:graphic>
          </wp:inline>
        </w:drawing>
      </w:r>
    </w:p>
    <w:p w14:paraId="0CCB6443" w14:textId="77777777" w:rsidR="003E4A8F" w:rsidRPr="004F51CE" w:rsidRDefault="003E4A8F" w:rsidP="003E4A8F">
      <w:pPr>
        <w:jc w:val="center"/>
      </w:pPr>
    </w:p>
    <w:p w14:paraId="7389787D" w14:textId="77777777" w:rsidR="002F5CC1" w:rsidRDefault="004F51CE" w:rsidP="004F51CE">
      <w:pPr>
        <w:rPr>
          <w:b/>
          <w:bCs/>
        </w:rPr>
      </w:pPr>
      <w:r w:rsidRPr="004F51CE">
        <w:rPr>
          <w:b/>
          <w:bCs/>
        </w:rPr>
        <w:t>2.5 Data Augmentation with SMOTE</w:t>
      </w:r>
    </w:p>
    <w:p w14:paraId="6B5EE061" w14:textId="060D366D" w:rsidR="004F51CE" w:rsidRDefault="004F51CE" w:rsidP="004F51CE">
      <w:r w:rsidRPr="004F51CE">
        <w:br/>
        <w:t xml:space="preserve">An initial examination of the dataset revealed a class imbalance problem, where the number of patients who survived (outcome = 1) significantly exceeded those who did not (outcome = 0). To address this, we applied the Synthetic Minority Over-sampling Technique (SMOTE), which generates synthetic samples for the minority class. </w:t>
      </w:r>
    </w:p>
    <w:p w14:paraId="69EE8692" w14:textId="77777777" w:rsidR="003E4A8F" w:rsidRDefault="003E4A8F" w:rsidP="003E4A8F">
      <w:pPr>
        <w:jc w:val="center"/>
      </w:pPr>
      <w:r>
        <w:rPr>
          <w:noProof/>
        </w:rPr>
        <w:drawing>
          <wp:inline distT="0" distB="0" distL="0" distR="0" wp14:anchorId="0DE50439" wp14:editId="37FE3A5A">
            <wp:extent cx="5093368" cy="2239232"/>
            <wp:effectExtent l="0" t="0" r="0" b="0"/>
            <wp:docPr id="12668546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54646" name="Picture 1266854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64188" cy="2270367"/>
                    </a:xfrm>
                    <a:prstGeom prst="rect">
                      <a:avLst/>
                    </a:prstGeom>
                  </pic:spPr>
                </pic:pic>
              </a:graphicData>
            </a:graphic>
          </wp:inline>
        </w:drawing>
      </w:r>
    </w:p>
    <w:p w14:paraId="255E8BC0" w14:textId="0E8D9DE1" w:rsidR="00A26317" w:rsidRPr="003E4A8F" w:rsidRDefault="00A26317" w:rsidP="003E4A8F">
      <w:pPr>
        <w:rPr>
          <w:b/>
          <w:bCs/>
        </w:rPr>
      </w:pPr>
      <w:r w:rsidRPr="003E4A8F">
        <w:rPr>
          <w:b/>
          <w:bCs/>
        </w:rPr>
        <w:lastRenderedPageBreak/>
        <w:t>2.6 Model Selection and Performance Metrics</w:t>
      </w:r>
    </w:p>
    <w:p w14:paraId="5F46BE45" w14:textId="77777777" w:rsidR="003E4A8F" w:rsidRPr="003E4A8F" w:rsidRDefault="003E4A8F" w:rsidP="003E4A8F">
      <w:pPr>
        <w:jc w:val="center"/>
      </w:pPr>
    </w:p>
    <w:p w14:paraId="2FE1AFDC" w14:textId="76104A3C" w:rsidR="00A26317" w:rsidRDefault="00A26317" w:rsidP="003E4A8F">
      <w:pPr>
        <w:jc w:val="both"/>
      </w:pPr>
      <w:r>
        <w:t>A comparative analysis of multiple machine learning classifiers was conducted, including K-Nearest Neighbors, Gradient Boosting, Random Forest, Logistic Regression, Support Vector Machines (SVC), and Multi-Layer Perceptron (MLP).</w:t>
      </w:r>
    </w:p>
    <w:p w14:paraId="1A8C3BA5" w14:textId="77777777" w:rsidR="00146B48" w:rsidRDefault="00146B48" w:rsidP="003E4A8F">
      <w:pPr>
        <w:jc w:val="both"/>
      </w:pPr>
    </w:p>
    <w:p w14:paraId="197B16A8" w14:textId="77777777" w:rsidR="00CF6195" w:rsidRPr="00CF6195" w:rsidRDefault="00CF6195" w:rsidP="003E4A8F">
      <w:pPr>
        <w:jc w:val="center"/>
        <w:rPr>
          <w:b/>
          <w:bCs/>
        </w:rPr>
      </w:pPr>
      <w:r w:rsidRPr="00CF6195">
        <w:rPr>
          <w:b/>
          <w:bCs/>
        </w:rPr>
        <w:t>Table 1: Comparative Performance of Machine Learning Classifiers</w:t>
      </w:r>
    </w:p>
    <w:tbl>
      <w:tblPr>
        <w:tblW w:w="0" w:type="auto"/>
        <w:tblBorders>
          <w:top w:val="double" w:sz="4" w:space="0" w:color="auto"/>
          <w:bottom w:val="double" w:sz="4" w:space="0" w:color="auto"/>
          <w:insideH w:val="double" w:sz="4" w:space="0" w:color="auto"/>
        </w:tblBorders>
        <w:tblCellMar>
          <w:top w:w="15" w:type="dxa"/>
          <w:left w:w="15" w:type="dxa"/>
          <w:bottom w:w="15" w:type="dxa"/>
          <w:right w:w="15" w:type="dxa"/>
        </w:tblCellMar>
        <w:tblLook w:val="04A0" w:firstRow="1" w:lastRow="0" w:firstColumn="1" w:lastColumn="0" w:noHBand="0" w:noVBand="1"/>
      </w:tblPr>
      <w:tblGrid>
        <w:gridCol w:w="2040"/>
        <w:gridCol w:w="1825"/>
        <w:gridCol w:w="1888"/>
        <w:gridCol w:w="1636"/>
        <w:gridCol w:w="1971"/>
      </w:tblGrid>
      <w:tr w:rsidR="00CF6195" w:rsidRPr="00CF6195" w14:paraId="01BE4D3F" w14:textId="77777777" w:rsidTr="00146B48">
        <w:trPr>
          <w:tblHeader/>
        </w:trPr>
        <w:tc>
          <w:tcPr>
            <w:tcW w:w="0" w:type="auto"/>
            <w:tcMar>
              <w:top w:w="15" w:type="dxa"/>
              <w:left w:w="0" w:type="dxa"/>
              <w:bottom w:w="15" w:type="dxa"/>
              <w:right w:w="15" w:type="dxa"/>
            </w:tcMar>
            <w:vAlign w:val="center"/>
            <w:hideMark/>
          </w:tcPr>
          <w:p w14:paraId="2220FB6E" w14:textId="77777777" w:rsidR="00CF6195" w:rsidRPr="00CF6195" w:rsidRDefault="00CF6195" w:rsidP="003E4A8F">
            <w:pPr>
              <w:jc w:val="both"/>
              <w:rPr>
                <w:b/>
                <w:bCs/>
              </w:rPr>
            </w:pPr>
            <w:r w:rsidRPr="00CF6195">
              <w:rPr>
                <w:b/>
                <w:bCs/>
              </w:rPr>
              <w:t>Model</w:t>
            </w:r>
          </w:p>
        </w:tc>
        <w:tc>
          <w:tcPr>
            <w:tcW w:w="0" w:type="auto"/>
            <w:vAlign w:val="center"/>
            <w:hideMark/>
          </w:tcPr>
          <w:p w14:paraId="665A80FA" w14:textId="77777777" w:rsidR="00CF6195" w:rsidRPr="00CF6195" w:rsidRDefault="00CF6195" w:rsidP="003E4A8F">
            <w:pPr>
              <w:jc w:val="both"/>
              <w:rPr>
                <w:b/>
                <w:bCs/>
              </w:rPr>
            </w:pPr>
            <w:r w:rsidRPr="00CF6195">
              <w:rPr>
                <w:b/>
                <w:bCs/>
              </w:rPr>
              <w:t>F1-Score (Mean ± SD)</w:t>
            </w:r>
          </w:p>
        </w:tc>
        <w:tc>
          <w:tcPr>
            <w:tcW w:w="0" w:type="auto"/>
            <w:vAlign w:val="center"/>
            <w:hideMark/>
          </w:tcPr>
          <w:p w14:paraId="3912E4BE" w14:textId="77777777" w:rsidR="00CF6195" w:rsidRPr="00CF6195" w:rsidRDefault="00CF6195" w:rsidP="003E4A8F">
            <w:pPr>
              <w:jc w:val="both"/>
              <w:rPr>
                <w:b/>
                <w:bCs/>
              </w:rPr>
            </w:pPr>
            <w:r w:rsidRPr="00CF6195">
              <w:rPr>
                <w:b/>
                <w:bCs/>
              </w:rPr>
              <w:t>ROC-AUC (Mean ± SD)</w:t>
            </w:r>
          </w:p>
        </w:tc>
        <w:tc>
          <w:tcPr>
            <w:tcW w:w="0" w:type="auto"/>
            <w:vAlign w:val="center"/>
            <w:hideMark/>
          </w:tcPr>
          <w:p w14:paraId="24DE1269" w14:textId="77777777" w:rsidR="00CF6195" w:rsidRPr="00CF6195" w:rsidRDefault="00CF6195" w:rsidP="003E4A8F">
            <w:pPr>
              <w:jc w:val="both"/>
              <w:rPr>
                <w:b/>
                <w:bCs/>
              </w:rPr>
            </w:pPr>
            <w:r w:rsidRPr="00CF6195">
              <w:rPr>
                <w:b/>
                <w:bCs/>
              </w:rPr>
              <w:t>Recall (Mean ± SD)</w:t>
            </w:r>
          </w:p>
        </w:tc>
        <w:tc>
          <w:tcPr>
            <w:tcW w:w="0" w:type="auto"/>
            <w:vAlign w:val="center"/>
            <w:hideMark/>
          </w:tcPr>
          <w:p w14:paraId="76750143" w14:textId="77777777" w:rsidR="00CF6195" w:rsidRPr="00CF6195" w:rsidRDefault="00CF6195" w:rsidP="003E4A8F">
            <w:pPr>
              <w:jc w:val="both"/>
              <w:rPr>
                <w:b/>
                <w:bCs/>
              </w:rPr>
            </w:pPr>
            <w:r w:rsidRPr="00CF6195">
              <w:rPr>
                <w:b/>
                <w:bCs/>
              </w:rPr>
              <w:t>Precision (Mean ± SD)</w:t>
            </w:r>
          </w:p>
        </w:tc>
      </w:tr>
      <w:tr w:rsidR="00CF6195" w:rsidRPr="00CF6195" w14:paraId="4A877CA7" w14:textId="77777777" w:rsidTr="00146B48">
        <w:tc>
          <w:tcPr>
            <w:tcW w:w="0" w:type="auto"/>
            <w:tcMar>
              <w:top w:w="15" w:type="dxa"/>
              <w:left w:w="0" w:type="dxa"/>
              <w:bottom w:w="15" w:type="dxa"/>
              <w:right w:w="15" w:type="dxa"/>
            </w:tcMar>
            <w:vAlign w:val="center"/>
            <w:hideMark/>
          </w:tcPr>
          <w:p w14:paraId="7CA61E8F" w14:textId="77777777" w:rsidR="00CF6195" w:rsidRPr="00CF6195" w:rsidRDefault="00CF6195" w:rsidP="003E4A8F">
            <w:pPr>
              <w:jc w:val="both"/>
            </w:pPr>
            <w:r w:rsidRPr="00CF6195">
              <w:rPr>
                <w:b/>
                <w:bCs/>
              </w:rPr>
              <w:t>Random Forest</w:t>
            </w:r>
          </w:p>
        </w:tc>
        <w:tc>
          <w:tcPr>
            <w:tcW w:w="0" w:type="auto"/>
            <w:vAlign w:val="center"/>
            <w:hideMark/>
          </w:tcPr>
          <w:p w14:paraId="0BEF4865" w14:textId="77777777" w:rsidR="00CF6195" w:rsidRPr="00CF6195" w:rsidRDefault="00CF6195" w:rsidP="003E4A8F">
            <w:pPr>
              <w:jc w:val="both"/>
            </w:pPr>
            <w:r w:rsidRPr="00CF6195">
              <w:t>0.93 ± 0.04</w:t>
            </w:r>
          </w:p>
        </w:tc>
        <w:tc>
          <w:tcPr>
            <w:tcW w:w="0" w:type="auto"/>
            <w:vAlign w:val="center"/>
            <w:hideMark/>
          </w:tcPr>
          <w:p w14:paraId="75B8F912" w14:textId="77777777" w:rsidR="00CF6195" w:rsidRPr="00CF6195" w:rsidRDefault="00CF6195" w:rsidP="003E4A8F">
            <w:pPr>
              <w:jc w:val="both"/>
            </w:pPr>
            <w:r w:rsidRPr="00CF6195">
              <w:t>0.97 ± 0.03</w:t>
            </w:r>
          </w:p>
        </w:tc>
        <w:tc>
          <w:tcPr>
            <w:tcW w:w="0" w:type="auto"/>
            <w:vAlign w:val="center"/>
            <w:hideMark/>
          </w:tcPr>
          <w:p w14:paraId="54381216" w14:textId="77777777" w:rsidR="00CF6195" w:rsidRPr="00CF6195" w:rsidRDefault="00CF6195" w:rsidP="003E4A8F">
            <w:pPr>
              <w:jc w:val="both"/>
            </w:pPr>
            <w:r w:rsidRPr="00CF6195">
              <w:t>0.94 ± 0.04</w:t>
            </w:r>
          </w:p>
        </w:tc>
        <w:tc>
          <w:tcPr>
            <w:tcW w:w="0" w:type="auto"/>
            <w:vAlign w:val="center"/>
            <w:hideMark/>
          </w:tcPr>
          <w:p w14:paraId="061ABB13" w14:textId="77777777" w:rsidR="00CF6195" w:rsidRPr="00CF6195" w:rsidRDefault="00CF6195" w:rsidP="003E4A8F">
            <w:pPr>
              <w:jc w:val="both"/>
            </w:pPr>
            <w:r w:rsidRPr="00CF6195">
              <w:t>0.92 ± 0.08</w:t>
            </w:r>
          </w:p>
        </w:tc>
      </w:tr>
      <w:tr w:rsidR="00CF6195" w:rsidRPr="00CF6195" w14:paraId="1912A759" w14:textId="77777777" w:rsidTr="00146B48">
        <w:tc>
          <w:tcPr>
            <w:tcW w:w="0" w:type="auto"/>
            <w:tcMar>
              <w:top w:w="15" w:type="dxa"/>
              <w:left w:w="0" w:type="dxa"/>
              <w:bottom w:w="15" w:type="dxa"/>
              <w:right w:w="15" w:type="dxa"/>
            </w:tcMar>
            <w:vAlign w:val="center"/>
            <w:hideMark/>
          </w:tcPr>
          <w:p w14:paraId="4AC5E7B6" w14:textId="77777777" w:rsidR="00CF6195" w:rsidRPr="00CF6195" w:rsidRDefault="00CF6195" w:rsidP="003E4A8F">
            <w:pPr>
              <w:jc w:val="both"/>
            </w:pPr>
            <w:r w:rsidRPr="00CF6195">
              <w:rPr>
                <w:b/>
                <w:bCs/>
              </w:rPr>
              <w:t>MLP</w:t>
            </w:r>
          </w:p>
        </w:tc>
        <w:tc>
          <w:tcPr>
            <w:tcW w:w="0" w:type="auto"/>
            <w:vAlign w:val="center"/>
            <w:hideMark/>
          </w:tcPr>
          <w:p w14:paraId="2557112D" w14:textId="77777777" w:rsidR="00CF6195" w:rsidRPr="00CF6195" w:rsidRDefault="00CF6195" w:rsidP="003E4A8F">
            <w:pPr>
              <w:jc w:val="both"/>
            </w:pPr>
            <w:r w:rsidRPr="00CF6195">
              <w:t>0.92 ± 0.06</w:t>
            </w:r>
          </w:p>
        </w:tc>
        <w:tc>
          <w:tcPr>
            <w:tcW w:w="0" w:type="auto"/>
            <w:vAlign w:val="center"/>
            <w:hideMark/>
          </w:tcPr>
          <w:p w14:paraId="183ABFF2" w14:textId="77777777" w:rsidR="00CF6195" w:rsidRPr="00CF6195" w:rsidRDefault="00CF6195" w:rsidP="003E4A8F">
            <w:pPr>
              <w:jc w:val="both"/>
            </w:pPr>
            <w:r w:rsidRPr="00CF6195">
              <w:t>0.96 ± 0.05</w:t>
            </w:r>
          </w:p>
        </w:tc>
        <w:tc>
          <w:tcPr>
            <w:tcW w:w="0" w:type="auto"/>
            <w:vAlign w:val="center"/>
            <w:hideMark/>
          </w:tcPr>
          <w:p w14:paraId="20E25D2A" w14:textId="77777777" w:rsidR="00CF6195" w:rsidRPr="00CF6195" w:rsidRDefault="00CF6195" w:rsidP="003E4A8F">
            <w:pPr>
              <w:jc w:val="both"/>
            </w:pPr>
            <w:r w:rsidRPr="00CF6195">
              <w:t>0.95 ± 0.05</w:t>
            </w:r>
          </w:p>
        </w:tc>
        <w:tc>
          <w:tcPr>
            <w:tcW w:w="0" w:type="auto"/>
            <w:vAlign w:val="center"/>
            <w:hideMark/>
          </w:tcPr>
          <w:p w14:paraId="271CDB37" w14:textId="77777777" w:rsidR="00CF6195" w:rsidRPr="00CF6195" w:rsidRDefault="00CF6195" w:rsidP="003E4A8F">
            <w:pPr>
              <w:jc w:val="both"/>
            </w:pPr>
            <w:r w:rsidRPr="00CF6195">
              <w:t>0.88 ± 0.12</w:t>
            </w:r>
          </w:p>
        </w:tc>
      </w:tr>
      <w:tr w:rsidR="00CF6195" w:rsidRPr="00CF6195" w14:paraId="26DB33D6" w14:textId="77777777" w:rsidTr="00146B48">
        <w:tc>
          <w:tcPr>
            <w:tcW w:w="0" w:type="auto"/>
            <w:tcMar>
              <w:top w:w="15" w:type="dxa"/>
              <w:left w:w="0" w:type="dxa"/>
              <w:bottom w:w="15" w:type="dxa"/>
              <w:right w:w="15" w:type="dxa"/>
            </w:tcMar>
            <w:vAlign w:val="center"/>
            <w:hideMark/>
          </w:tcPr>
          <w:p w14:paraId="7BAAB70D" w14:textId="77777777" w:rsidR="00CF6195" w:rsidRPr="00CF6195" w:rsidRDefault="00CF6195" w:rsidP="003E4A8F">
            <w:pPr>
              <w:jc w:val="both"/>
            </w:pPr>
            <w:r w:rsidRPr="00CF6195">
              <w:rPr>
                <w:b/>
                <w:bCs/>
              </w:rPr>
              <w:t>Gradient Boosting</w:t>
            </w:r>
          </w:p>
        </w:tc>
        <w:tc>
          <w:tcPr>
            <w:tcW w:w="0" w:type="auto"/>
            <w:vAlign w:val="center"/>
            <w:hideMark/>
          </w:tcPr>
          <w:p w14:paraId="5F3D76FD" w14:textId="77777777" w:rsidR="00CF6195" w:rsidRPr="00CF6195" w:rsidRDefault="00CF6195" w:rsidP="003E4A8F">
            <w:pPr>
              <w:jc w:val="both"/>
            </w:pPr>
            <w:r w:rsidRPr="00CF6195">
              <w:t>0.91 ± 0.04</w:t>
            </w:r>
          </w:p>
        </w:tc>
        <w:tc>
          <w:tcPr>
            <w:tcW w:w="0" w:type="auto"/>
            <w:vAlign w:val="center"/>
            <w:hideMark/>
          </w:tcPr>
          <w:p w14:paraId="540ABF1F" w14:textId="77777777" w:rsidR="00CF6195" w:rsidRPr="00CF6195" w:rsidRDefault="00CF6195" w:rsidP="003E4A8F">
            <w:pPr>
              <w:jc w:val="both"/>
            </w:pPr>
            <w:r w:rsidRPr="00CF6195">
              <w:t>0.95 ± 0.04</w:t>
            </w:r>
          </w:p>
        </w:tc>
        <w:tc>
          <w:tcPr>
            <w:tcW w:w="0" w:type="auto"/>
            <w:vAlign w:val="center"/>
            <w:hideMark/>
          </w:tcPr>
          <w:p w14:paraId="3B52E1BA" w14:textId="77777777" w:rsidR="00CF6195" w:rsidRPr="00CF6195" w:rsidRDefault="00CF6195" w:rsidP="003E4A8F">
            <w:pPr>
              <w:jc w:val="both"/>
            </w:pPr>
            <w:r w:rsidRPr="00CF6195">
              <w:t>0.94 ± 0.06</w:t>
            </w:r>
          </w:p>
        </w:tc>
        <w:tc>
          <w:tcPr>
            <w:tcW w:w="0" w:type="auto"/>
            <w:vAlign w:val="center"/>
            <w:hideMark/>
          </w:tcPr>
          <w:p w14:paraId="75AA71C3" w14:textId="77777777" w:rsidR="00CF6195" w:rsidRPr="00CF6195" w:rsidRDefault="00CF6195" w:rsidP="003E4A8F">
            <w:pPr>
              <w:jc w:val="both"/>
            </w:pPr>
            <w:r w:rsidRPr="00CF6195">
              <w:t>0.90 ± 0.10</w:t>
            </w:r>
          </w:p>
        </w:tc>
      </w:tr>
      <w:tr w:rsidR="00CF6195" w:rsidRPr="00CF6195" w14:paraId="732A69C9" w14:textId="77777777" w:rsidTr="00146B48">
        <w:tc>
          <w:tcPr>
            <w:tcW w:w="0" w:type="auto"/>
            <w:tcMar>
              <w:top w:w="15" w:type="dxa"/>
              <w:left w:w="0" w:type="dxa"/>
              <w:bottom w:w="15" w:type="dxa"/>
              <w:right w:w="15" w:type="dxa"/>
            </w:tcMar>
            <w:vAlign w:val="center"/>
            <w:hideMark/>
          </w:tcPr>
          <w:p w14:paraId="42606518" w14:textId="77777777" w:rsidR="00CF6195" w:rsidRPr="00CF6195" w:rsidRDefault="00CF6195" w:rsidP="003E4A8F">
            <w:pPr>
              <w:jc w:val="both"/>
            </w:pPr>
            <w:r w:rsidRPr="00CF6195">
              <w:rPr>
                <w:b/>
                <w:bCs/>
              </w:rPr>
              <w:t>SVC</w:t>
            </w:r>
          </w:p>
        </w:tc>
        <w:tc>
          <w:tcPr>
            <w:tcW w:w="0" w:type="auto"/>
            <w:vAlign w:val="center"/>
            <w:hideMark/>
          </w:tcPr>
          <w:p w14:paraId="07132715" w14:textId="77777777" w:rsidR="00CF6195" w:rsidRPr="00CF6195" w:rsidRDefault="00CF6195" w:rsidP="003E4A8F">
            <w:pPr>
              <w:jc w:val="both"/>
            </w:pPr>
            <w:r w:rsidRPr="00CF6195">
              <w:t>0.86 ± 0.08</w:t>
            </w:r>
          </w:p>
        </w:tc>
        <w:tc>
          <w:tcPr>
            <w:tcW w:w="0" w:type="auto"/>
            <w:vAlign w:val="center"/>
            <w:hideMark/>
          </w:tcPr>
          <w:p w14:paraId="04CF108C" w14:textId="77777777" w:rsidR="00CF6195" w:rsidRPr="00CF6195" w:rsidRDefault="00CF6195" w:rsidP="003E4A8F">
            <w:pPr>
              <w:jc w:val="both"/>
            </w:pPr>
            <w:r w:rsidRPr="00CF6195">
              <w:t>0.94 ± 0.03</w:t>
            </w:r>
          </w:p>
        </w:tc>
        <w:tc>
          <w:tcPr>
            <w:tcW w:w="0" w:type="auto"/>
            <w:vAlign w:val="center"/>
            <w:hideMark/>
          </w:tcPr>
          <w:p w14:paraId="16BA7C04" w14:textId="77777777" w:rsidR="00CF6195" w:rsidRPr="00CF6195" w:rsidRDefault="00CF6195" w:rsidP="003E4A8F">
            <w:pPr>
              <w:jc w:val="both"/>
            </w:pPr>
            <w:r w:rsidRPr="00CF6195">
              <w:t>0.90 ± 0.06</w:t>
            </w:r>
          </w:p>
        </w:tc>
        <w:tc>
          <w:tcPr>
            <w:tcW w:w="0" w:type="auto"/>
            <w:vAlign w:val="center"/>
            <w:hideMark/>
          </w:tcPr>
          <w:p w14:paraId="0B345EED" w14:textId="77777777" w:rsidR="00CF6195" w:rsidRPr="00CF6195" w:rsidRDefault="00CF6195" w:rsidP="003E4A8F">
            <w:pPr>
              <w:jc w:val="both"/>
            </w:pPr>
            <w:r w:rsidRPr="00CF6195">
              <w:t>0.84 ± 0.12</w:t>
            </w:r>
          </w:p>
        </w:tc>
      </w:tr>
      <w:tr w:rsidR="00CF6195" w:rsidRPr="00CF6195" w14:paraId="7D33CC25" w14:textId="77777777" w:rsidTr="00146B48">
        <w:tc>
          <w:tcPr>
            <w:tcW w:w="0" w:type="auto"/>
            <w:tcMar>
              <w:top w:w="15" w:type="dxa"/>
              <w:left w:w="0" w:type="dxa"/>
              <w:bottom w:w="15" w:type="dxa"/>
              <w:right w:w="15" w:type="dxa"/>
            </w:tcMar>
            <w:vAlign w:val="center"/>
            <w:hideMark/>
          </w:tcPr>
          <w:p w14:paraId="3D292CFF" w14:textId="77777777" w:rsidR="00CF6195" w:rsidRPr="00CF6195" w:rsidRDefault="00CF6195" w:rsidP="003E4A8F">
            <w:pPr>
              <w:jc w:val="both"/>
            </w:pPr>
            <w:r w:rsidRPr="00CF6195">
              <w:rPr>
                <w:b/>
                <w:bCs/>
              </w:rPr>
              <w:t>K-Neighbors</w:t>
            </w:r>
          </w:p>
        </w:tc>
        <w:tc>
          <w:tcPr>
            <w:tcW w:w="0" w:type="auto"/>
            <w:vAlign w:val="center"/>
            <w:hideMark/>
          </w:tcPr>
          <w:p w14:paraId="6FAFF88B" w14:textId="77777777" w:rsidR="00CF6195" w:rsidRPr="00CF6195" w:rsidRDefault="00CF6195" w:rsidP="003E4A8F">
            <w:pPr>
              <w:jc w:val="both"/>
            </w:pPr>
            <w:r w:rsidRPr="00CF6195">
              <w:t>0.85 ± 0.08</w:t>
            </w:r>
          </w:p>
        </w:tc>
        <w:tc>
          <w:tcPr>
            <w:tcW w:w="0" w:type="auto"/>
            <w:vAlign w:val="center"/>
            <w:hideMark/>
          </w:tcPr>
          <w:p w14:paraId="4CDED864" w14:textId="77777777" w:rsidR="00CF6195" w:rsidRPr="00CF6195" w:rsidRDefault="00CF6195" w:rsidP="003E4A8F">
            <w:pPr>
              <w:jc w:val="both"/>
            </w:pPr>
            <w:r w:rsidRPr="00CF6195">
              <w:t>0.92 ± 0.05</w:t>
            </w:r>
          </w:p>
        </w:tc>
        <w:tc>
          <w:tcPr>
            <w:tcW w:w="0" w:type="auto"/>
            <w:vAlign w:val="center"/>
            <w:hideMark/>
          </w:tcPr>
          <w:p w14:paraId="1C2063C0" w14:textId="77777777" w:rsidR="00CF6195" w:rsidRPr="00CF6195" w:rsidRDefault="00CF6195" w:rsidP="003E4A8F">
            <w:pPr>
              <w:jc w:val="both"/>
            </w:pPr>
            <w:r w:rsidRPr="00CF6195">
              <w:t>0.95 ± 0.08</w:t>
            </w:r>
          </w:p>
        </w:tc>
        <w:tc>
          <w:tcPr>
            <w:tcW w:w="0" w:type="auto"/>
            <w:vAlign w:val="center"/>
            <w:hideMark/>
          </w:tcPr>
          <w:p w14:paraId="219F740D" w14:textId="77777777" w:rsidR="00CF6195" w:rsidRPr="00CF6195" w:rsidRDefault="00CF6195" w:rsidP="003E4A8F">
            <w:pPr>
              <w:jc w:val="both"/>
            </w:pPr>
            <w:r w:rsidRPr="00CF6195">
              <w:t>0.79 ± 0.11</w:t>
            </w:r>
          </w:p>
        </w:tc>
      </w:tr>
      <w:tr w:rsidR="00CF6195" w:rsidRPr="00CF6195" w14:paraId="2AC5BB3F" w14:textId="77777777" w:rsidTr="00146B48">
        <w:tc>
          <w:tcPr>
            <w:tcW w:w="0" w:type="auto"/>
            <w:tcMar>
              <w:top w:w="15" w:type="dxa"/>
              <w:left w:w="0" w:type="dxa"/>
              <w:bottom w:w="15" w:type="dxa"/>
              <w:right w:w="15" w:type="dxa"/>
            </w:tcMar>
            <w:vAlign w:val="center"/>
            <w:hideMark/>
          </w:tcPr>
          <w:p w14:paraId="472B94D6" w14:textId="77777777" w:rsidR="00CF6195" w:rsidRPr="00CF6195" w:rsidRDefault="00CF6195" w:rsidP="003E4A8F">
            <w:pPr>
              <w:jc w:val="both"/>
            </w:pPr>
            <w:r w:rsidRPr="00CF6195">
              <w:rPr>
                <w:b/>
                <w:bCs/>
              </w:rPr>
              <w:t>Logistic Regression</w:t>
            </w:r>
          </w:p>
        </w:tc>
        <w:tc>
          <w:tcPr>
            <w:tcW w:w="0" w:type="auto"/>
            <w:vAlign w:val="center"/>
            <w:hideMark/>
          </w:tcPr>
          <w:p w14:paraId="6DF9B712" w14:textId="77777777" w:rsidR="00CF6195" w:rsidRPr="00CF6195" w:rsidRDefault="00CF6195" w:rsidP="003E4A8F">
            <w:pPr>
              <w:jc w:val="both"/>
            </w:pPr>
            <w:r w:rsidRPr="00CF6195">
              <w:t>0.85 ± 0.08</w:t>
            </w:r>
          </w:p>
        </w:tc>
        <w:tc>
          <w:tcPr>
            <w:tcW w:w="0" w:type="auto"/>
            <w:vAlign w:val="center"/>
            <w:hideMark/>
          </w:tcPr>
          <w:p w14:paraId="1FF12BDF" w14:textId="77777777" w:rsidR="00CF6195" w:rsidRPr="00CF6195" w:rsidRDefault="00CF6195" w:rsidP="003E4A8F">
            <w:pPr>
              <w:jc w:val="both"/>
            </w:pPr>
            <w:r w:rsidRPr="00CF6195">
              <w:t>0.92 ± 0.06</w:t>
            </w:r>
          </w:p>
        </w:tc>
        <w:tc>
          <w:tcPr>
            <w:tcW w:w="0" w:type="auto"/>
            <w:vAlign w:val="center"/>
            <w:hideMark/>
          </w:tcPr>
          <w:p w14:paraId="022CC6EF" w14:textId="77777777" w:rsidR="00CF6195" w:rsidRPr="00CF6195" w:rsidRDefault="00CF6195" w:rsidP="003E4A8F">
            <w:pPr>
              <w:jc w:val="both"/>
            </w:pPr>
            <w:r w:rsidRPr="00CF6195">
              <w:t>0.87 ± 0.01</w:t>
            </w:r>
          </w:p>
        </w:tc>
        <w:tc>
          <w:tcPr>
            <w:tcW w:w="0" w:type="auto"/>
            <w:vAlign w:val="center"/>
            <w:hideMark/>
          </w:tcPr>
          <w:p w14:paraId="0AD865CA" w14:textId="77777777" w:rsidR="00CF6195" w:rsidRPr="00CF6195" w:rsidRDefault="00CF6195" w:rsidP="003E4A8F">
            <w:pPr>
              <w:jc w:val="both"/>
            </w:pPr>
            <w:r w:rsidRPr="00CF6195">
              <w:t>0.84 ± 0.14</w:t>
            </w:r>
          </w:p>
        </w:tc>
      </w:tr>
      <w:tr w:rsidR="00CF6195" w:rsidRPr="00CF6195" w14:paraId="5600E94C" w14:textId="77777777" w:rsidTr="00146B48">
        <w:tc>
          <w:tcPr>
            <w:tcW w:w="0" w:type="auto"/>
            <w:tcMar>
              <w:top w:w="15" w:type="dxa"/>
              <w:left w:w="0" w:type="dxa"/>
              <w:bottom w:w="15" w:type="dxa"/>
              <w:right w:w="15" w:type="dxa"/>
            </w:tcMar>
            <w:vAlign w:val="center"/>
            <w:hideMark/>
          </w:tcPr>
          <w:p w14:paraId="7EAD2795" w14:textId="77777777" w:rsidR="00CF6195" w:rsidRPr="00CF6195" w:rsidRDefault="00CF6195" w:rsidP="003E4A8F">
            <w:pPr>
              <w:jc w:val="both"/>
            </w:pPr>
            <w:r w:rsidRPr="00CF6195">
              <w:rPr>
                <w:b/>
                <w:bCs/>
              </w:rPr>
              <w:t>Decision Tree</w:t>
            </w:r>
          </w:p>
        </w:tc>
        <w:tc>
          <w:tcPr>
            <w:tcW w:w="0" w:type="auto"/>
            <w:vAlign w:val="center"/>
            <w:hideMark/>
          </w:tcPr>
          <w:p w14:paraId="53D46990" w14:textId="77777777" w:rsidR="00CF6195" w:rsidRPr="00CF6195" w:rsidRDefault="00CF6195" w:rsidP="003E4A8F">
            <w:pPr>
              <w:jc w:val="both"/>
            </w:pPr>
            <w:r w:rsidRPr="00CF6195">
              <w:t>0.87 ± 0.01</w:t>
            </w:r>
          </w:p>
        </w:tc>
        <w:tc>
          <w:tcPr>
            <w:tcW w:w="0" w:type="auto"/>
            <w:vAlign w:val="center"/>
            <w:hideMark/>
          </w:tcPr>
          <w:p w14:paraId="16E2A716" w14:textId="77777777" w:rsidR="00CF6195" w:rsidRPr="00CF6195" w:rsidRDefault="00CF6195" w:rsidP="003E4A8F">
            <w:pPr>
              <w:jc w:val="both"/>
            </w:pPr>
            <w:r w:rsidRPr="00CF6195">
              <w:t>0.87 ± 0.04</w:t>
            </w:r>
          </w:p>
        </w:tc>
        <w:tc>
          <w:tcPr>
            <w:tcW w:w="0" w:type="auto"/>
            <w:vAlign w:val="center"/>
            <w:hideMark/>
          </w:tcPr>
          <w:p w14:paraId="1030AE71" w14:textId="77777777" w:rsidR="00CF6195" w:rsidRPr="00CF6195" w:rsidRDefault="00CF6195" w:rsidP="003E4A8F">
            <w:pPr>
              <w:jc w:val="both"/>
            </w:pPr>
            <w:r w:rsidRPr="00CF6195">
              <w:t>0.87 ± 0.10</w:t>
            </w:r>
          </w:p>
        </w:tc>
        <w:tc>
          <w:tcPr>
            <w:tcW w:w="0" w:type="auto"/>
            <w:vAlign w:val="center"/>
            <w:hideMark/>
          </w:tcPr>
          <w:p w14:paraId="36A0E86A" w14:textId="77777777" w:rsidR="00CF6195" w:rsidRPr="00CF6195" w:rsidRDefault="00CF6195" w:rsidP="003E4A8F">
            <w:pPr>
              <w:jc w:val="both"/>
            </w:pPr>
            <w:r w:rsidRPr="00CF6195">
              <w:t>0.87 ± 0.09</w:t>
            </w:r>
          </w:p>
        </w:tc>
      </w:tr>
      <w:tr w:rsidR="00CF6195" w:rsidRPr="00CF6195" w14:paraId="036ECD42" w14:textId="77777777" w:rsidTr="00146B48">
        <w:tc>
          <w:tcPr>
            <w:tcW w:w="0" w:type="auto"/>
            <w:tcMar>
              <w:top w:w="15" w:type="dxa"/>
              <w:left w:w="0" w:type="dxa"/>
              <w:bottom w:w="15" w:type="dxa"/>
              <w:right w:w="15" w:type="dxa"/>
            </w:tcMar>
            <w:vAlign w:val="center"/>
            <w:hideMark/>
          </w:tcPr>
          <w:p w14:paraId="7C02EAB0" w14:textId="77777777" w:rsidR="00CF6195" w:rsidRPr="00CF6195" w:rsidRDefault="00CF6195" w:rsidP="003E4A8F">
            <w:pPr>
              <w:jc w:val="both"/>
            </w:pPr>
            <w:r w:rsidRPr="00CF6195">
              <w:rPr>
                <w:b/>
                <w:bCs/>
              </w:rPr>
              <w:t>SGD</w:t>
            </w:r>
          </w:p>
        </w:tc>
        <w:tc>
          <w:tcPr>
            <w:tcW w:w="0" w:type="auto"/>
            <w:vAlign w:val="center"/>
            <w:hideMark/>
          </w:tcPr>
          <w:p w14:paraId="16F2593A" w14:textId="77777777" w:rsidR="00CF6195" w:rsidRPr="00CF6195" w:rsidRDefault="00CF6195" w:rsidP="003E4A8F">
            <w:pPr>
              <w:jc w:val="both"/>
            </w:pPr>
            <w:r w:rsidRPr="00CF6195">
              <w:t>0.78 ± 0.12</w:t>
            </w:r>
          </w:p>
        </w:tc>
        <w:tc>
          <w:tcPr>
            <w:tcW w:w="0" w:type="auto"/>
            <w:vAlign w:val="center"/>
            <w:hideMark/>
          </w:tcPr>
          <w:p w14:paraId="6A55C023" w14:textId="77777777" w:rsidR="00CF6195" w:rsidRPr="00CF6195" w:rsidRDefault="00CF6195" w:rsidP="003E4A8F">
            <w:pPr>
              <w:jc w:val="both"/>
            </w:pPr>
            <w:r w:rsidRPr="00CF6195">
              <w:t>0.88 ± 0.05</w:t>
            </w:r>
          </w:p>
        </w:tc>
        <w:tc>
          <w:tcPr>
            <w:tcW w:w="0" w:type="auto"/>
            <w:vAlign w:val="center"/>
            <w:hideMark/>
          </w:tcPr>
          <w:p w14:paraId="76B8F626" w14:textId="77777777" w:rsidR="00CF6195" w:rsidRPr="00CF6195" w:rsidRDefault="00CF6195" w:rsidP="003E4A8F">
            <w:pPr>
              <w:jc w:val="both"/>
            </w:pPr>
            <w:r w:rsidRPr="00CF6195">
              <w:t>0.75 ± 0.20</w:t>
            </w:r>
          </w:p>
        </w:tc>
        <w:tc>
          <w:tcPr>
            <w:tcW w:w="0" w:type="auto"/>
            <w:vAlign w:val="center"/>
            <w:hideMark/>
          </w:tcPr>
          <w:p w14:paraId="30C7FE2D" w14:textId="77777777" w:rsidR="00CF6195" w:rsidRPr="00CF6195" w:rsidRDefault="00CF6195" w:rsidP="003E4A8F">
            <w:pPr>
              <w:jc w:val="both"/>
            </w:pPr>
            <w:r w:rsidRPr="00CF6195">
              <w:t>0.79 ± 0.10</w:t>
            </w:r>
          </w:p>
        </w:tc>
      </w:tr>
      <w:tr w:rsidR="00CF6195" w:rsidRPr="00CF6195" w14:paraId="1CCEF7E6" w14:textId="77777777" w:rsidTr="00146B48">
        <w:tc>
          <w:tcPr>
            <w:tcW w:w="0" w:type="auto"/>
            <w:tcMar>
              <w:top w:w="15" w:type="dxa"/>
              <w:left w:w="0" w:type="dxa"/>
              <w:bottom w:w="15" w:type="dxa"/>
              <w:right w:w="15" w:type="dxa"/>
            </w:tcMar>
            <w:vAlign w:val="center"/>
            <w:hideMark/>
          </w:tcPr>
          <w:p w14:paraId="4CC50656" w14:textId="77777777" w:rsidR="00CF6195" w:rsidRPr="00CF6195" w:rsidRDefault="00CF6195" w:rsidP="003E4A8F">
            <w:pPr>
              <w:jc w:val="both"/>
            </w:pPr>
            <w:r w:rsidRPr="00CF6195">
              <w:rPr>
                <w:b/>
                <w:bCs/>
              </w:rPr>
              <w:t>Gaussian Naïve Bayes</w:t>
            </w:r>
          </w:p>
        </w:tc>
        <w:tc>
          <w:tcPr>
            <w:tcW w:w="0" w:type="auto"/>
            <w:vAlign w:val="center"/>
            <w:hideMark/>
          </w:tcPr>
          <w:p w14:paraId="3D90F546" w14:textId="77777777" w:rsidR="00CF6195" w:rsidRPr="00CF6195" w:rsidRDefault="00CF6195" w:rsidP="003E4A8F">
            <w:pPr>
              <w:jc w:val="both"/>
            </w:pPr>
            <w:r w:rsidRPr="00CF6195">
              <w:t>0.75 ± 0.05</w:t>
            </w:r>
          </w:p>
        </w:tc>
        <w:tc>
          <w:tcPr>
            <w:tcW w:w="0" w:type="auto"/>
            <w:vAlign w:val="center"/>
            <w:hideMark/>
          </w:tcPr>
          <w:p w14:paraId="7D1E44B6" w14:textId="77777777" w:rsidR="00CF6195" w:rsidRPr="00CF6195" w:rsidRDefault="00CF6195" w:rsidP="003E4A8F">
            <w:pPr>
              <w:jc w:val="both"/>
            </w:pPr>
            <w:r w:rsidRPr="00CF6195">
              <w:t>0.94 ± 0.02</w:t>
            </w:r>
          </w:p>
        </w:tc>
        <w:tc>
          <w:tcPr>
            <w:tcW w:w="0" w:type="auto"/>
            <w:vAlign w:val="center"/>
            <w:hideMark/>
          </w:tcPr>
          <w:p w14:paraId="0D3EE27F" w14:textId="77777777" w:rsidR="00CF6195" w:rsidRPr="00CF6195" w:rsidRDefault="00CF6195" w:rsidP="003E4A8F">
            <w:pPr>
              <w:jc w:val="both"/>
            </w:pPr>
            <w:r w:rsidRPr="00CF6195">
              <w:t>1.00 ± 0.00</w:t>
            </w:r>
          </w:p>
        </w:tc>
        <w:tc>
          <w:tcPr>
            <w:tcW w:w="0" w:type="auto"/>
            <w:vAlign w:val="center"/>
            <w:hideMark/>
          </w:tcPr>
          <w:p w14:paraId="4083D6A9" w14:textId="77777777" w:rsidR="00CF6195" w:rsidRPr="00CF6195" w:rsidRDefault="00CF6195" w:rsidP="003E4A8F">
            <w:pPr>
              <w:jc w:val="both"/>
            </w:pPr>
            <w:r w:rsidRPr="00CF6195">
              <w:t>0.60 ± 0.07</w:t>
            </w:r>
          </w:p>
        </w:tc>
      </w:tr>
    </w:tbl>
    <w:p w14:paraId="266CF21E" w14:textId="77777777" w:rsidR="00CF6195" w:rsidRDefault="00CF6195" w:rsidP="003E4A8F">
      <w:pPr>
        <w:jc w:val="both"/>
      </w:pPr>
    </w:p>
    <w:p w14:paraId="0EE42265" w14:textId="466C71CD" w:rsidR="00A26317" w:rsidRDefault="00CF6195" w:rsidP="003E4A8F">
      <w:pPr>
        <w:jc w:val="both"/>
      </w:pPr>
      <w:r w:rsidRPr="00CF6195">
        <w:t>Hyperparameter tuning for Random Forest followed a grid search protocol optimized for F1-score, with parameters logged via MLflow for reproducibility</w:t>
      </w:r>
      <w:r>
        <w:t xml:space="preserve"> achieving a </w:t>
      </w:r>
      <w:r w:rsidR="00A26317">
        <w:t>F1-score of 0.948. Feature importance analysis revealed the leuko-glycemic index (ILG) as the most significant predictor, accounting for 43.1% of the predictive power - more than double the contribution of the second most important variable.</w:t>
      </w:r>
    </w:p>
    <w:p w14:paraId="652C9638" w14:textId="65009121" w:rsidR="004F51CE" w:rsidRDefault="00A26317" w:rsidP="00BE3A45">
      <w:pPr>
        <w:jc w:val="both"/>
      </w:pPr>
      <w:r>
        <w:t xml:space="preserve">The MLP classifier demonstrated comparable performance with an F1-score of 0.941 using an optimized architecture with three hidden layers (5-10-5 nodes), logistic activation </w:t>
      </w:r>
      <w:r>
        <w:lastRenderedPageBreak/>
        <w:t>function, and adaptive learning rate (initial rate = 0.2). While detailed feature importance isn't directly comparable to Random Forest, ILG maintained its strong predictive influence in this model as well.</w:t>
      </w:r>
    </w:p>
    <w:p w14:paraId="00B95B59" w14:textId="21A5983E" w:rsidR="00BE3A45" w:rsidRPr="004F51CE" w:rsidRDefault="00BE3A45" w:rsidP="00BE3A45">
      <w:pPr>
        <w:jc w:val="center"/>
      </w:pPr>
      <w:r>
        <w:rPr>
          <w:noProof/>
        </w:rPr>
        <w:drawing>
          <wp:inline distT="0" distB="0" distL="0" distR="0" wp14:anchorId="68CE48BB" wp14:editId="5B482F23">
            <wp:extent cx="5499463" cy="3621067"/>
            <wp:effectExtent l="0" t="0" r="0" b="0"/>
            <wp:docPr id="2854261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26166" name="Picture 285426166"/>
                    <pic:cNvPicPr/>
                  </pic:nvPicPr>
                  <pic:blipFill>
                    <a:blip r:embed="rId10">
                      <a:extLst>
                        <a:ext uri="{28A0092B-C50C-407E-A947-70E740481C1C}">
                          <a14:useLocalDpi xmlns:a14="http://schemas.microsoft.com/office/drawing/2010/main" val="0"/>
                        </a:ext>
                      </a:extLst>
                    </a:blip>
                    <a:stretch>
                      <a:fillRect/>
                    </a:stretch>
                  </pic:blipFill>
                  <pic:spPr>
                    <a:xfrm>
                      <a:off x="0" y="0"/>
                      <a:ext cx="5511614" cy="3629068"/>
                    </a:xfrm>
                    <a:prstGeom prst="rect">
                      <a:avLst/>
                    </a:prstGeom>
                  </pic:spPr>
                </pic:pic>
              </a:graphicData>
            </a:graphic>
          </wp:inline>
        </w:drawing>
      </w:r>
    </w:p>
    <w:p w14:paraId="5BDC235C" w14:textId="77777777" w:rsidR="00FB75BC" w:rsidRDefault="00FB75BC" w:rsidP="00257095">
      <w:pPr>
        <w:rPr>
          <w:b/>
          <w:bCs/>
        </w:rPr>
      </w:pPr>
    </w:p>
    <w:p w14:paraId="2B53E620" w14:textId="77777777" w:rsidR="00FB75BC" w:rsidRDefault="00FB75BC" w:rsidP="00257095">
      <w:pPr>
        <w:rPr>
          <w:b/>
          <w:bCs/>
        </w:rPr>
      </w:pPr>
    </w:p>
    <w:p w14:paraId="1B747348" w14:textId="77777777" w:rsidR="00FB75BC" w:rsidRDefault="00FB75BC" w:rsidP="00257095">
      <w:pPr>
        <w:rPr>
          <w:b/>
          <w:bCs/>
        </w:rPr>
      </w:pPr>
    </w:p>
    <w:p w14:paraId="43C1AA53" w14:textId="77777777" w:rsidR="00FB75BC" w:rsidRDefault="00FB75BC" w:rsidP="00257095">
      <w:pPr>
        <w:rPr>
          <w:b/>
          <w:bCs/>
        </w:rPr>
      </w:pPr>
    </w:p>
    <w:p w14:paraId="38B77636" w14:textId="77777777" w:rsidR="00FB75BC" w:rsidRDefault="00FB75BC" w:rsidP="00257095">
      <w:pPr>
        <w:rPr>
          <w:b/>
          <w:bCs/>
        </w:rPr>
      </w:pPr>
    </w:p>
    <w:p w14:paraId="1216C844" w14:textId="77777777" w:rsidR="00FB75BC" w:rsidRDefault="00FB75BC" w:rsidP="00257095">
      <w:pPr>
        <w:rPr>
          <w:b/>
          <w:bCs/>
        </w:rPr>
      </w:pPr>
    </w:p>
    <w:p w14:paraId="153D9898" w14:textId="77777777" w:rsidR="00FB75BC" w:rsidRDefault="00FB75BC" w:rsidP="00257095">
      <w:pPr>
        <w:rPr>
          <w:b/>
          <w:bCs/>
        </w:rPr>
      </w:pPr>
    </w:p>
    <w:p w14:paraId="4A8FDEC4" w14:textId="77777777" w:rsidR="00FB75BC" w:rsidRDefault="00FB75BC" w:rsidP="00257095">
      <w:pPr>
        <w:rPr>
          <w:b/>
          <w:bCs/>
        </w:rPr>
      </w:pPr>
    </w:p>
    <w:p w14:paraId="21EFF815" w14:textId="77777777" w:rsidR="00FB75BC" w:rsidRDefault="00FB75BC" w:rsidP="00257095">
      <w:pPr>
        <w:rPr>
          <w:b/>
          <w:bCs/>
        </w:rPr>
      </w:pPr>
    </w:p>
    <w:p w14:paraId="265E72DF" w14:textId="77777777" w:rsidR="00FB75BC" w:rsidRDefault="00FB75BC" w:rsidP="00257095">
      <w:pPr>
        <w:rPr>
          <w:b/>
          <w:bCs/>
        </w:rPr>
      </w:pPr>
    </w:p>
    <w:p w14:paraId="403AC051" w14:textId="77777777" w:rsidR="00FB75BC" w:rsidRDefault="00FB75BC" w:rsidP="00257095">
      <w:pPr>
        <w:rPr>
          <w:b/>
          <w:bCs/>
        </w:rPr>
      </w:pPr>
    </w:p>
    <w:p w14:paraId="06CB6ED7" w14:textId="7A3EFBC2" w:rsidR="00FB75BC" w:rsidRDefault="004F51CE" w:rsidP="00257095">
      <w:pPr>
        <w:rPr>
          <w:b/>
          <w:bCs/>
        </w:rPr>
      </w:pPr>
      <w:r w:rsidRPr="004F51CE">
        <w:rPr>
          <w:b/>
          <w:bCs/>
        </w:rPr>
        <w:lastRenderedPageBreak/>
        <w:t>3. Results and Discussion</w:t>
      </w:r>
      <w:r w:rsidRPr="004F51CE">
        <w:br/>
      </w:r>
    </w:p>
    <w:p w14:paraId="38ACA2B7" w14:textId="381E8B1B" w:rsidR="00257095" w:rsidRPr="00257095" w:rsidRDefault="00257095" w:rsidP="00257095">
      <w:pPr>
        <w:rPr>
          <w:b/>
          <w:bCs/>
        </w:rPr>
      </w:pPr>
      <w:r w:rsidRPr="00257095">
        <w:rPr>
          <w:b/>
          <w:bCs/>
        </w:rPr>
        <w:t xml:space="preserve">3.1 </w:t>
      </w:r>
      <w:r w:rsidRPr="00257095">
        <w:rPr>
          <w:b/>
          <w:bCs/>
        </w:rPr>
        <w:t>Decision Boundary Analysis Using Voronoi Tessellation</w:t>
      </w:r>
    </w:p>
    <w:p w14:paraId="43EBE38F" w14:textId="57FF6512" w:rsidR="00FB75BC" w:rsidRDefault="00FB75BC" w:rsidP="00FB75BC">
      <w:pPr>
        <w:jc w:val="center"/>
      </w:pPr>
      <w:r>
        <w:rPr>
          <w:noProof/>
        </w:rPr>
        <w:drawing>
          <wp:inline distT="0" distB="0" distL="0" distR="0" wp14:anchorId="655118EA" wp14:editId="7335B7F9">
            <wp:extent cx="3352800" cy="2587397"/>
            <wp:effectExtent l="0" t="0" r="0" b="3810"/>
            <wp:docPr id="11919185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18513" name="Picture 1191918513"/>
                    <pic:cNvPicPr/>
                  </pic:nvPicPr>
                  <pic:blipFill>
                    <a:blip r:embed="rId11">
                      <a:extLst>
                        <a:ext uri="{28A0092B-C50C-407E-A947-70E740481C1C}">
                          <a14:useLocalDpi xmlns:a14="http://schemas.microsoft.com/office/drawing/2010/main" val="0"/>
                        </a:ext>
                      </a:extLst>
                    </a:blip>
                    <a:stretch>
                      <a:fillRect/>
                    </a:stretch>
                  </pic:blipFill>
                  <pic:spPr>
                    <a:xfrm>
                      <a:off x="0" y="0"/>
                      <a:ext cx="3501040" cy="2701796"/>
                    </a:xfrm>
                    <a:prstGeom prst="rect">
                      <a:avLst/>
                    </a:prstGeom>
                  </pic:spPr>
                </pic:pic>
              </a:graphicData>
            </a:graphic>
          </wp:inline>
        </w:drawing>
      </w:r>
    </w:p>
    <w:p w14:paraId="4426FCC1" w14:textId="39A9D8B8" w:rsidR="00257095" w:rsidRDefault="00257095" w:rsidP="00FB75BC">
      <w:pPr>
        <w:jc w:val="both"/>
      </w:pPr>
      <w:r>
        <w:t>The Voronoi-based visualization of the model's decision space, focusing on ILG and consciousness disorder, revealed several clinically relevant patterns</w:t>
      </w:r>
      <w:r>
        <w:t>.</w:t>
      </w:r>
    </w:p>
    <w:p w14:paraId="7B9FCB2C" w14:textId="3B25E6D5" w:rsidR="00257095" w:rsidRDefault="00257095" w:rsidP="00FB75BC">
      <w:pPr>
        <w:jc w:val="both"/>
      </w:pPr>
      <w:r>
        <w:t>The diagram shows distinct spatial segregation between outcomes, with survival predictions (class 1) dominating in regions of low ILG values (below 2000). As ILG increases, mortality predictions (class 0) become progressively more frequent, particularly when combined with moderate-to-severe consciousness disorders</w:t>
      </w:r>
    </w:p>
    <w:p w14:paraId="55827BEE" w14:textId="3815558B" w:rsidR="00257095" w:rsidRDefault="00257095" w:rsidP="00FB75BC">
      <w:pPr>
        <w:jc w:val="both"/>
      </w:pPr>
      <w:r>
        <w:t>The irregular boundaries between prediction zones demonstrate the non-linear relationship between ILG and mortality risk. Intermediate ILG ranges (2000-3000) show mixed prediction areas, indicating that the index's predictive power depends on interaction with other clinical factors</w:t>
      </w:r>
    </w:p>
    <w:p w14:paraId="6BDCCACA" w14:textId="3EEAAA1F" w:rsidR="00257095" w:rsidRDefault="00257095" w:rsidP="00FB75BC">
      <w:pPr>
        <w:jc w:val="both"/>
      </w:pPr>
      <w:r>
        <w:t xml:space="preserve">Notably, the visualization captures threshold effects where small changes in either ILG or consciousness status </w:t>
      </w:r>
      <w:r w:rsidR="00FB75BC">
        <w:t>led</w:t>
      </w:r>
      <w:r>
        <w:t xml:space="preserve"> to different mortality predictions. These transitional zones may represent clinically meaningful decision points for intervention</w:t>
      </w:r>
    </w:p>
    <w:p w14:paraId="4C2EA754" w14:textId="0EB2DBDC" w:rsidR="00257095" w:rsidRDefault="00257095" w:rsidP="00FB75BC">
      <w:pPr>
        <w:jc w:val="both"/>
      </w:pPr>
      <w:r>
        <w:t>The presence of isolated survival predictions within high-ILG regions suggests potential modifying factors not captured in the current feature set, warranting further investigation</w:t>
      </w:r>
    </w:p>
    <w:p w14:paraId="10D583C4" w14:textId="77777777" w:rsidR="00FB75BC" w:rsidRDefault="00257095" w:rsidP="00FB75BC">
      <w:pPr>
        <w:jc w:val="both"/>
      </w:pPr>
      <w:r>
        <w:t>This geometric analysis complements the feature importance results by providing spatial evidence of ILG's role in the model's decision-making process. The consistent prominence of ILG across both analytical approaches - from quantitative importance rankings to decision space visualization - strongly supports its validity as a prognostic marker for stroke mortality</w:t>
      </w:r>
      <w:r w:rsidR="00FB75BC">
        <w:t>.</w:t>
      </w:r>
    </w:p>
    <w:p w14:paraId="50074E62" w14:textId="6A2CA435" w:rsidR="00FB75BC" w:rsidRDefault="00257095" w:rsidP="00FB75BC">
      <w:pPr>
        <w:jc w:val="both"/>
        <w:rPr>
          <w:b/>
          <w:bCs/>
        </w:rPr>
      </w:pPr>
      <w:r w:rsidRPr="00146B48">
        <w:rPr>
          <w:b/>
          <w:bCs/>
        </w:rPr>
        <w:lastRenderedPageBreak/>
        <w:t>3.</w:t>
      </w:r>
      <w:r w:rsidRPr="00146B48">
        <w:rPr>
          <w:b/>
          <w:bCs/>
        </w:rPr>
        <w:t>2</w:t>
      </w:r>
      <w:r w:rsidRPr="00146B48">
        <w:rPr>
          <w:b/>
          <w:bCs/>
        </w:rPr>
        <w:t xml:space="preserve"> Survival Probability Analysis Using Partial Dependence</w:t>
      </w:r>
    </w:p>
    <w:p w14:paraId="190FE86E" w14:textId="77777777" w:rsidR="00FB75BC" w:rsidRDefault="00FB75BC" w:rsidP="00FB75BC">
      <w:pPr>
        <w:jc w:val="both"/>
        <w:rPr>
          <w:b/>
          <w:bCs/>
        </w:rPr>
      </w:pPr>
    </w:p>
    <w:p w14:paraId="5FC5C179" w14:textId="7A2E2CA5" w:rsidR="00FB75BC" w:rsidRDefault="00FB75BC" w:rsidP="00FB75BC">
      <w:pPr>
        <w:jc w:val="center"/>
      </w:pPr>
      <w:r>
        <w:rPr>
          <w:noProof/>
        </w:rPr>
        <w:drawing>
          <wp:inline distT="0" distB="0" distL="0" distR="0" wp14:anchorId="58739E8A" wp14:editId="3070BA21">
            <wp:extent cx="4216136" cy="2741840"/>
            <wp:effectExtent l="0" t="0" r="635" b="1905"/>
            <wp:docPr id="4375695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69533" name="Picture 437569533"/>
                    <pic:cNvPicPr/>
                  </pic:nvPicPr>
                  <pic:blipFill>
                    <a:blip r:embed="rId12">
                      <a:extLst>
                        <a:ext uri="{28A0092B-C50C-407E-A947-70E740481C1C}">
                          <a14:useLocalDpi xmlns:a14="http://schemas.microsoft.com/office/drawing/2010/main" val="0"/>
                        </a:ext>
                      </a:extLst>
                    </a:blip>
                    <a:stretch>
                      <a:fillRect/>
                    </a:stretch>
                  </pic:blipFill>
                  <pic:spPr>
                    <a:xfrm>
                      <a:off x="0" y="0"/>
                      <a:ext cx="4303104" cy="2798397"/>
                    </a:xfrm>
                    <a:prstGeom prst="rect">
                      <a:avLst/>
                    </a:prstGeom>
                  </pic:spPr>
                </pic:pic>
              </a:graphicData>
            </a:graphic>
          </wp:inline>
        </w:drawing>
      </w:r>
    </w:p>
    <w:p w14:paraId="4C79E0BD" w14:textId="77777777" w:rsidR="00FB75BC" w:rsidRPr="00FB75BC" w:rsidRDefault="00FB75BC" w:rsidP="00FB75BC">
      <w:pPr>
        <w:jc w:val="center"/>
      </w:pPr>
    </w:p>
    <w:p w14:paraId="4D5E5E8C" w14:textId="77777777" w:rsidR="00257095" w:rsidRDefault="00257095" w:rsidP="00FB75BC">
      <w:pPr>
        <w:jc w:val="both"/>
      </w:pPr>
      <w:r>
        <w:t>The partial dependence analysis demonstrates a nonlinear relationship between ILG values and predicted survival outcomes, revealing distinct prognostic phases. In the moderate-risk range between 500 and 1400 ILG units, the model predicts survival probabilities stabilizing between 0.6 and 0.7, indicating these patients maintain clinically favorable prognoses. The critical transition occurs as ILG surpasses 1400, where survival probability begins a steep decline, crossing the pivotal 0.5 threshold at approximately 1600 ILG units. This 1600-2000 interval represents the most dramatic risk progression, with survival probabilities plummeting from 0.5 to 0.25, marking a clear clinical warning zone. Beyond 2000 ILG units, the curve shows a continued but more gradual descent, with probabilities decaying from 0.25 to 0.15 in the highest ranges, suggesting these extreme values may reflect additional pathophysiological processes. The visualization clearly identifies 1600 as the critical inflection point where mortality risk overtakes survival likelihood, while the 1400-2000 window emerges as the most clinically significant for monitoring and intervention. These findings quantitatively validate ILG's dual role as both a threshold marker and continuous risk gradient, providing clinicians with specific reference points for risk stratification. The non-monotonic elements of the curve, particularly the changing slope gradients, warrant further investigation into potential modifying factors that may influence ILG's predictive power across different ranges.</w:t>
      </w:r>
    </w:p>
    <w:p w14:paraId="1FF11299" w14:textId="77777777" w:rsidR="00BE3A45" w:rsidRDefault="00BE3A45" w:rsidP="00B251EE"/>
    <w:p w14:paraId="4B4AEFB2" w14:textId="1866199B" w:rsidR="00B251EE" w:rsidRPr="00146B48" w:rsidRDefault="00B251EE" w:rsidP="00B251EE">
      <w:pPr>
        <w:rPr>
          <w:b/>
          <w:bCs/>
        </w:rPr>
      </w:pPr>
      <w:r w:rsidRPr="00146B48">
        <w:rPr>
          <w:b/>
          <w:bCs/>
        </w:rPr>
        <w:lastRenderedPageBreak/>
        <w:t>4. Conclusions</w:t>
      </w:r>
    </w:p>
    <w:p w14:paraId="19072BC3" w14:textId="6642065D" w:rsidR="00B251EE" w:rsidRDefault="00B251EE" w:rsidP="00B251EE">
      <w:r>
        <w:t>This study systematically evaluated the prognostic value of the leuko-glycemic index (ILG) in acute stroke mortality through advanced machine learning techniques and rigorous analytical methods. The results consistently demonstrate that ILG serves as a robust and clinically meaningful predictor of patient outcomes, achieving three key objectives:</w:t>
      </w:r>
    </w:p>
    <w:p w14:paraId="380EFBDC" w14:textId="47F2F34C" w:rsidR="00B251EE" w:rsidRDefault="00B251EE" w:rsidP="00146B48">
      <w:pPr>
        <w:pStyle w:val="ListParagraph"/>
        <w:numPr>
          <w:ilvl w:val="0"/>
          <w:numId w:val="15"/>
        </w:numPr>
      </w:pPr>
      <w:r>
        <w:t>First, the Random Forest classifier identified ILG as the most influential feature, accounting for 43.1% of the predictive power—more than double the contribution of other clinical variables. This dominance was further validated through partial dependence analysis, which revealed specific risk thresholds: survival probabilities remained stable (0.6–0.7) for ILG &lt;1400, sharply declined to 0.5 at 1600, and plummeted to 0.25 by 2000. These thresholds provide actionable benchmarks for clinical decision-making.</w:t>
      </w:r>
    </w:p>
    <w:p w14:paraId="1CA57005" w14:textId="4E6C7EFA" w:rsidR="00B251EE" w:rsidRDefault="00B251EE" w:rsidP="00146B48">
      <w:pPr>
        <w:pStyle w:val="ListParagraph"/>
        <w:numPr>
          <w:ilvl w:val="0"/>
          <w:numId w:val="15"/>
        </w:numPr>
      </w:pPr>
      <w:r>
        <w:t>Second, the Voronoi-based decision boundary analysis confirmed ILG’s non-linear interaction with other critical factors, particularly consciousness disorders. The visualization highlighted how ILG’s predictive power intensifies in combination with neurological impairments, reinforcing its role not as an isolated marker but as part of a dynamic risk assessment framework.</w:t>
      </w:r>
    </w:p>
    <w:p w14:paraId="2070BC9C" w14:textId="33502AE4" w:rsidR="00B251EE" w:rsidRDefault="00B251EE" w:rsidP="00146B48">
      <w:pPr>
        <w:pStyle w:val="ListParagraph"/>
        <w:numPr>
          <w:ilvl w:val="0"/>
          <w:numId w:val="15"/>
        </w:numPr>
      </w:pPr>
      <w:r>
        <w:t>Third, the model’s performance metrics (F1-score: 0.948, AUC-ROC: 0.97) and consistent results across analytical approaches—feature importance, partial dependence, and geometric decision boundaries—collectively validate ILG’s reliability as a prognostic tool. The findings align with the project’s primary objective, demonstrating that ILG is not merely statistically significant but clinically interpretable, with identifiable thresholds that correlate with mortality risk.</w:t>
      </w:r>
    </w:p>
    <w:p w14:paraId="200069E4" w14:textId="77777777" w:rsidR="00B251EE" w:rsidRPr="00146B48" w:rsidRDefault="00B251EE" w:rsidP="00B251EE">
      <w:pPr>
        <w:rPr>
          <w:b/>
          <w:bCs/>
        </w:rPr>
      </w:pPr>
      <w:r w:rsidRPr="00146B48">
        <w:rPr>
          <w:b/>
          <w:bCs/>
        </w:rPr>
        <w:t>Clinical Implications</w:t>
      </w:r>
    </w:p>
    <w:p w14:paraId="3737DE7F" w14:textId="258A4026" w:rsidR="00B251EE" w:rsidRDefault="00B251EE" w:rsidP="00B251EE">
      <w:r>
        <w:t>The study supports integrating ILG into acute stroke evaluation protocols, particularly for early risk stratification in ICU settings. The 1600 threshold, where survival probability drops below 0.5, could serve as a trigger for intensified monitoring or intervention. Future work should explore ILG’s utility in real-time clinical workflows and broader populations.</w:t>
      </w:r>
    </w:p>
    <w:p w14:paraId="755F86B3" w14:textId="77777777" w:rsidR="00B251EE" w:rsidRPr="00146B48" w:rsidRDefault="00B251EE" w:rsidP="00B251EE">
      <w:pPr>
        <w:rPr>
          <w:b/>
          <w:bCs/>
        </w:rPr>
      </w:pPr>
      <w:r w:rsidRPr="00146B48">
        <w:rPr>
          <w:b/>
          <w:bCs/>
        </w:rPr>
        <w:t>Limitations and Future Directions</w:t>
      </w:r>
    </w:p>
    <w:p w14:paraId="64F146AC" w14:textId="57332335" w:rsidR="004F51CE" w:rsidRPr="004F51CE" w:rsidRDefault="00B251EE" w:rsidP="00B251EE">
      <w:r>
        <w:t>While the results are compelling, the single-center dataset (n=107) warrants validation in multicenter studies. Additionally, investigating ILG’s interaction with therapeutic interventions could refine its predictive precision. Nevertheless, this project successfully establishes ILG as a reproducible, high-impact marker for stroke mortality prediction, achieving its goal through a transparent and methodologically robust pipeline.</w:t>
      </w:r>
    </w:p>
    <w:p w14:paraId="17311884" w14:textId="77777777" w:rsidR="004F51CE" w:rsidRPr="004F51CE" w:rsidRDefault="004F51CE" w:rsidP="004F51CE">
      <w:r w:rsidRPr="004F51CE">
        <w:rPr>
          <w:b/>
          <w:bCs/>
        </w:rPr>
        <w:lastRenderedPageBreak/>
        <w:t>5. References</w:t>
      </w:r>
      <w:r w:rsidRPr="004F51CE">
        <w:br/>
        <w:t>(To be added based on literature review)</w:t>
      </w:r>
    </w:p>
    <w:p w14:paraId="2F2DD969" w14:textId="585FCB83" w:rsidR="00C17CAD" w:rsidRPr="004F51CE" w:rsidRDefault="00C17CAD" w:rsidP="004F51CE"/>
    <w:sectPr w:rsidR="00C17CAD" w:rsidRPr="004F51CE" w:rsidSect="00146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52A55"/>
    <w:multiLevelType w:val="multilevel"/>
    <w:tmpl w:val="6602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D7733"/>
    <w:multiLevelType w:val="multilevel"/>
    <w:tmpl w:val="43AC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03CC6"/>
    <w:multiLevelType w:val="hybridMultilevel"/>
    <w:tmpl w:val="50F0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F2DA3"/>
    <w:multiLevelType w:val="multilevel"/>
    <w:tmpl w:val="0FC6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26D2D"/>
    <w:multiLevelType w:val="multilevel"/>
    <w:tmpl w:val="39E8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A7240"/>
    <w:multiLevelType w:val="multilevel"/>
    <w:tmpl w:val="845C3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207EC"/>
    <w:multiLevelType w:val="multilevel"/>
    <w:tmpl w:val="2C66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54D6F"/>
    <w:multiLevelType w:val="multilevel"/>
    <w:tmpl w:val="A488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C7913"/>
    <w:multiLevelType w:val="multilevel"/>
    <w:tmpl w:val="66925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E17415"/>
    <w:multiLevelType w:val="multilevel"/>
    <w:tmpl w:val="1038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0C5980"/>
    <w:multiLevelType w:val="multilevel"/>
    <w:tmpl w:val="92FC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21635"/>
    <w:multiLevelType w:val="multilevel"/>
    <w:tmpl w:val="66B2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17377"/>
    <w:multiLevelType w:val="multilevel"/>
    <w:tmpl w:val="EEDE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75399D"/>
    <w:multiLevelType w:val="multilevel"/>
    <w:tmpl w:val="D54E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C3FBC"/>
    <w:multiLevelType w:val="multilevel"/>
    <w:tmpl w:val="88CE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F23EF0"/>
    <w:multiLevelType w:val="hybridMultilevel"/>
    <w:tmpl w:val="9C54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9915627">
    <w:abstractNumId w:val="6"/>
  </w:num>
  <w:num w:numId="2" w16cid:durableId="1713308438">
    <w:abstractNumId w:val="8"/>
  </w:num>
  <w:num w:numId="3" w16cid:durableId="1616255823">
    <w:abstractNumId w:val="5"/>
  </w:num>
  <w:num w:numId="4" w16cid:durableId="908417324">
    <w:abstractNumId w:val="12"/>
  </w:num>
  <w:num w:numId="5" w16cid:durableId="1064330505">
    <w:abstractNumId w:val="4"/>
  </w:num>
  <w:num w:numId="6" w16cid:durableId="1577669857">
    <w:abstractNumId w:val="10"/>
  </w:num>
  <w:num w:numId="7" w16cid:durableId="11034262">
    <w:abstractNumId w:val="1"/>
  </w:num>
  <w:num w:numId="8" w16cid:durableId="2000111304">
    <w:abstractNumId w:val="14"/>
  </w:num>
  <w:num w:numId="9" w16cid:durableId="2031107197">
    <w:abstractNumId w:val="3"/>
  </w:num>
  <w:num w:numId="10" w16cid:durableId="578562707">
    <w:abstractNumId w:val="11"/>
  </w:num>
  <w:num w:numId="11" w16cid:durableId="452552612">
    <w:abstractNumId w:val="9"/>
  </w:num>
  <w:num w:numId="12" w16cid:durableId="548761017">
    <w:abstractNumId w:val="7"/>
  </w:num>
  <w:num w:numId="13" w16cid:durableId="484930594">
    <w:abstractNumId w:val="13"/>
  </w:num>
  <w:num w:numId="14" w16cid:durableId="1193497595">
    <w:abstractNumId w:val="0"/>
  </w:num>
  <w:num w:numId="15" w16cid:durableId="620233139">
    <w:abstractNumId w:val="15"/>
  </w:num>
  <w:num w:numId="16" w16cid:durableId="1281574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A8"/>
    <w:rsid w:val="001301E0"/>
    <w:rsid w:val="00146B48"/>
    <w:rsid w:val="00257095"/>
    <w:rsid w:val="002861E1"/>
    <w:rsid w:val="0029751D"/>
    <w:rsid w:val="002D1F74"/>
    <w:rsid w:val="002F5CC1"/>
    <w:rsid w:val="002F65EE"/>
    <w:rsid w:val="00361339"/>
    <w:rsid w:val="003629D1"/>
    <w:rsid w:val="003765DD"/>
    <w:rsid w:val="003D45DA"/>
    <w:rsid w:val="003E4A8F"/>
    <w:rsid w:val="0045536E"/>
    <w:rsid w:val="004E5CB0"/>
    <w:rsid w:val="004F51CE"/>
    <w:rsid w:val="00615288"/>
    <w:rsid w:val="0066481F"/>
    <w:rsid w:val="006B668F"/>
    <w:rsid w:val="00722680"/>
    <w:rsid w:val="0077616B"/>
    <w:rsid w:val="00871D92"/>
    <w:rsid w:val="008829CD"/>
    <w:rsid w:val="008E0C1D"/>
    <w:rsid w:val="00A26317"/>
    <w:rsid w:val="00A536A6"/>
    <w:rsid w:val="00AD619F"/>
    <w:rsid w:val="00B251EE"/>
    <w:rsid w:val="00B67A07"/>
    <w:rsid w:val="00BB5FC6"/>
    <w:rsid w:val="00BE3A45"/>
    <w:rsid w:val="00C17CAD"/>
    <w:rsid w:val="00CF6195"/>
    <w:rsid w:val="00D443A8"/>
    <w:rsid w:val="00E5214D"/>
    <w:rsid w:val="00ED3127"/>
    <w:rsid w:val="00F35BC3"/>
    <w:rsid w:val="00FB75BC"/>
    <w:rsid w:val="00FD2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5934"/>
  <w15:chartTrackingRefBased/>
  <w15:docId w15:val="{14971D95-3AE5-724C-BDF2-61FD2523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3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3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3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3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3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3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3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3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3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3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3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3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3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3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3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3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3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3A8"/>
    <w:rPr>
      <w:rFonts w:eastAsiaTheme="majorEastAsia" w:cstheme="majorBidi"/>
      <w:color w:val="272727" w:themeColor="text1" w:themeTint="D8"/>
    </w:rPr>
  </w:style>
  <w:style w:type="paragraph" w:styleId="Title">
    <w:name w:val="Title"/>
    <w:basedOn w:val="Normal"/>
    <w:next w:val="Normal"/>
    <w:link w:val="TitleChar"/>
    <w:uiPriority w:val="10"/>
    <w:qFormat/>
    <w:rsid w:val="00D44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3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3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3A8"/>
    <w:pPr>
      <w:spacing w:before="160"/>
      <w:jc w:val="center"/>
    </w:pPr>
    <w:rPr>
      <w:i/>
      <w:iCs/>
      <w:color w:val="404040" w:themeColor="text1" w:themeTint="BF"/>
    </w:rPr>
  </w:style>
  <w:style w:type="character" w:customStyle="1" w:styleId="QuoteChar">
    <w:name w:val="Quote Char"/>
    <w:basedOn w:val="DefaultParagraphFont"/>
    <w:link w:val="Quote"/>
    <w:uiPriority w:val="29"/>
    <w:rsid w:val="00D443A8"/>
    <w:rPr>
      <w:i/>
      <w:iCs/>
      <w:color w:val="404040" w:themeColor="text1" w:themeTint="BF"/>
    </w:rPr>
  </w:style>
  <w:style w:type="paragraph" w:styleId="ListParagraph">
    <w:name w:val="List Paragraph"/>
    <w:basedOn w:val="Normal"/>
    <w:uiPriority w:val="34"/>
    <w:qFormat/>
    <w:rsid w:val="00D443A8"/>
    <w:pPr>
      <w:ind w:left="720"/>
      <w:contextualSpacing/>
    </w:pPr>
  </w:style>
  <w:style w:type="character" w:styleId="IntenseEmphasis">
    <w:name w:val="Intense Emphasis"/>
    <w:basedOn w:val="DefaultParagraphFont"/>
    <w:uiPriority w:val="21"/>
    <w:qFormat/>
    <w:rsid w:val="00D443A8"/>
    <w:rPr>
      <w:i/>
      <w:iCs/>
      <w:color w:val="0F4761" w:themeColor="accent1" w:themeShade="BF"/>
    </w:rPr>
  </w:style>
  <w:style w:type="paragraph" w:styleId="IntenseQuote">
    <w:name w:val="Intense Quote"/>
    <w:basedOn w:val="Normal"/>
    <w:next w:val="Normal"/>
    <w:link w:val="IntenseQuoteChar"/>
    <w:uiPriority w:val="30"/>
    <w:qFormat/>
    <w:rsid w:val="00D443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3A8"/>
    <w:rPr>
      <w:i/>
      <w:iCs/>
      <w:color w:val="0F4761" w:themeColor="accent1" w:themeShade="BF"/>
    </w:rPr>
  </w:style>
  <w:style w:type="character" w:styleId="IntenseReference">
    <w:name w:val="Intense Reference"/>
    <w:basedOn w:val="DefaultParagraphFont"/>
    <w:uiPriority w:val="32"/>
    <w:qFormat/>
    <w:rsid w:val="00D443A8"/>
    <w:rPr>
      <w:b/>
      <w:bCs/>
      <w:smallCaps/>
      <w:color w:val="0F4761" w:themeColor="accent1" w:themeShade="BF"/>
      <w:spacing w:val="5"/>
    </w:rPr>
  </w:style>
  <w:style w:type="table" w:styleId="TableGrid">
    <w:name w:val="Table Grid"/>
    <w:basedOn w:val="TableNormal"/>
    <w:uiPriority w:val="39"/>
    <w:rsid w:val="00CF6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F6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F61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F61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F61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F61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F61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F61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80697">
      <w:bodyDiv w:val="1"/>
      <w:marLeft w:val="0"/>
      <w:marRight w:val="0"/>
      <w:marTop w:val="0"/>
      <w:marBottom w:val="0"/>
      <w:divBdr>
        <w:top w:val="none" w:sz="0" w:space="0" w:color="auto"/>
        <w:left w:val="none" w:sz="0" w:space="0" w:color="auto"/>
        <w:bottom w:val="none" w:sz="0" w:space="0" w:color="auto"/>
        <w:right w:val="none" w:sz="0" w:space="0" w:color="auto"/>
      </w:divBdr>
    </w:div>
    <w:div w:id="116804568">
      <w:bodyDiv w:val="1"/>
      <w:marLeft w:val="0"/>
      <w:marRight w:val="0"/>
      <w:marTop w:val="0"/>
      <w:marBottom w:val="0"/>
      <w:divBdr>
        <w:top w:val="none" w:sz="0" w:space="0" w:color="auto"/>
        <w:left w:val="none" w:sz="0" w:space="0" w:color="auto"/>
        <w:bottom w:val="none" w:sz="0" w:space="0" w:color="auto"/>
        <w:right w:val="none" w:sz="0" w:space="0" w:color="auto"/>
      </w:divBdr>
    </w:div>
    <w:div w:id="209001728">
      <w:bodyDiv w:val="1"/>
      <w:marLeft w:val="0"/>
      <w:marRight w:val="0"/>
      <w:marTop w:val="0"/>
      <w:marBottom w:val="0"/>
      <w:divBdr>
        <w:top w:val="none" w:sz="0" w:space="0" w:color="auto"/>
        <w:left w:val="none" w:sz="0" w:space="0" w:color="auto"/>
        <w:bottom w:val="none" w:sz="0" w:space="0" w:color="auto"/>
        <w:right w:val="none" w:sz="0" w:space="0" w:color="auto"/>
      </w:divBdr>
    </w:div>
    <w:div w:id="209148409">
      <w:bodyDiv w:val="1"/>
      <w:marLeft w:val="0"/>
      <w:marRight w:val="0"/>
      <w:marTop w:val="0"/>
      <w:marBottom w:val="0"/>
      <w:divBdr>
        <w:top w:val="none" w:sz="0" w:space="0" w:color="auto"/>
        <w:left w:val="none" w:sz="0" w:space="0" w:color="auto"/>
        <w:bottom w:val="none" w:sz="0" w:space="0" w:color="auto"/>
        <w:right w:val="none" w:sz="0" w:space="0" w:color="auto"/>
      </w:divBdr>
    </w:div>
    <w:div w:id="422799463">
      <w:bodyDiv w:val="1"/>
      <w:marLeft w:val="0"/>
      <w:marRight w:val="0"/>
      <w:marTop w:val="0"/>
      <w:marBottom w:val="0"/>
      <w:divBdr>
        <w:top w:val="none" w:sz="0" w:space="0" w:color="auto"/>
        <w:left w:val="none" w:sz="0" w:space="0" w:color="auto"/>
        <w:bottom w:val="none" w:sz="0" w:space="0" w:color="auto"/>
        <w:right w:val="none" w:sz="0" w:space="0" w:color="auto"/>
      </w:divBdr>
    </w:div>
    <w:div w:id="451173395">
      <w:bodyDiv w:val="1"/>
      <w:marLeft w:val="0"/>
      <w:marRight w:val="0"/>
      <w:marTop w:val="0"/>
      <w:marBottom w:val="0"/>
      <w:divBdr>
        <w:top w:val="none" w:sz="0" w:space="0" w:color="auto"/>
        <w:left w:val="none" w:sz="0" w:space="0" w:color="auto"/>
        <w:bottom w:val="none" w:sz="0" w:space="0" w:color="auto"/>
        <w:right w:val="none" w:sz="0" w:space="0" w:color="auto"/>
      </w:divBdr>
    </w:div>
    <w:div w:id="564416838">
      <w:bodyDiv w:val="1"/>
      <w:marLeft w:val="0"/>
      <w:marRight w:val="0"/>
      <w:marTop w:val="0"/>
      <w:marBottom w:val="0"/>
      <w:divBdr>
        <w:top w:val="none" w:sz="0" w:space="0" w:color="auto"/>
        <w:left w:val="none" w:sz="0" w:space="0" w:color="auto"/>
        <w:bottom w:val="none" w:sz="0" w:space="0" w:color="auto"/>
        <w:right w:val="none" w:sz="0" w:space="0" w:color="auto"/>
      </w:divBdr>
    </w:div>
    <w:div w:id="573012132">
      <w:bodyDiv w:val="1"/>
      <w:marLeft w:val="0"/>
      <w:marRight w:val="0"/>
      <w:marTop w:val="0"/>
      <w:marBottom w:val="0"/>
      <w:divBdr>
        <w:top w:val="none" w:sz="0" w:space="0" w:color="auto"/>
        <w:left w:val="none" w:sz="0" w:space="0" w:color="auto"/>
        <w:bottom w:val="none" w:sz="0" w:space="0" w:color="auto"/>
        <w:right w:val="none" w:sz="0" w:space="0" w:color="auto"/>
      </w:divBdr>
    </w:div>
    <w:div w:id="585769845">
      <w:bodyDiv w:val="1"/>
      <w:marLeft w:val="0"/>
      <w:marRight w:val="0"/>
      <w:marTop w:val="0"/>
      <w:marBottom w:val="0"/>
      <w:divBdr>
        <w:top w:val="none" w:sz="0" w:space="0" w:color="auto"/>
        <w:left w:val="none" w:sz="0" w:space="0" w:color="auto"/>
        <w:bottom w:val="none" w:sz="0" w:space="0" w:color="auto"/>
        <w:right w:val="none" w:sz="0" w:space="0" w:color="auto"/>
      </w:divBdr>
    </w:div>
    <w:div w:id="695546931">
      <w:bodyDiv w:val="1"/>
      <w:marLeft w:val="0"/>
      <w:marRight w:val="0"/>
      <w:marTop w:val="0"/>
      <w:marBottom w:val="0"/>
      <w:divBdr>
        <w:top w:val="none" w:sz="0" w:space="0" w:color="auto"/>
        <w:left w:val="none" w:sz="0" w:space="0" w:color="auto"/>
        <w:bottom w:val="none" w:sz="0" w:space="0" w:color="auto"/>
        <w:right w:val="none" w:sz="0" w:space="0" w:color="auto"/>
      </w:divBdr>
    </w:div>
    <w:div w:id="729350968">
      <w:bodyDiv w:val="1"/>
      <w:marLeft w:val="0"/>
      <w:marRight w:val="0"/>
      <w:marTop w:val="0"/>
      <w:marBottom w:val="0"/>
      <w:divBdr>
        <w:top w:val="none" w:sz="0" w:space="0" w:color="auto"/>
        <w:left w:val="none" w:sz="0" w:space="0" w:color="auto"/>
        <w:bottom w:val="none" w:sz="0" w:space="0" w:color="auto"/>
        <w:right w:val="none" w:sz="0" w:space="0" w:color="auto"/>
      </w:divBdr>
    </w:div>
    <w:div w:id="778110552">
      <w:bodyDiv w:val="1"/>
      <w:marLeft w:val="0"/>
      <w:marRight w:val="0"/>
      <w:marTop w:val="0"/>
      <w:marBottom w:val="0"/>
      <w:divBdr>
        <w:top w:val="none" w:sz="0" w:space="0" w:color="auto"/>
        <w:left w:val="none" w:sz="0" w:space="0" w:color="auto"/>
        <w:bottom w:val="none" w:sz="0" w:space="0" w:color="auto"/>
        <w:right w:val="none" w:sz="0" w:space="0" w:color="auto"/>
      </w:divBdr>
    </w:div>
    <w:div w:id="786581903">
      <w:bodyDiv w:val="1"/>
      <w:marLeft w:val="0"/>
      <w:marRight w:val="0"/>
      <w:marTop w:val="0"/>
      <w:marBottom w:val="0"/>
      <w:divBdr>
        <w:top w:val="none" w:sz="0" w:space="0" w:color="auto"/>
        <w:left w:val="none" w:sz="0" w:space="0" w:color="auto"/>
        <w:bottom w:val="none" w:sz="0" w:space="0" w:color="auto"/>
        <w:right w:val="none" w:sz="0" w:space="0" w:color="auto"/>
      </w:divBdr>
    </w:div>
    <w:div w:id="951932808">
      <w:bodyDiv w:val="1"/>
      <w:marLeft w:val="0"/>
      <w:marRight w:val="0"/>
      <w:marTop w:val="0"/>
      <w:marBottom w:val="0"/>
      <w:divBdr>
        <w:top w:val="none" w:sz="0" w:space="0" w:color="auto"/>
        <w:left w:val="none" w:sz="0" w:space="0" w:color="auto"/>
        <w:bottom w:val="none" w:sz="0" w:space="0" w:color="auto"/>
        <w:right w:val="none" w:sz="0" w:space="0" w:color="auto"/>
      </w:divBdr>
    </w:div>
    <w:div w:id="973682923">
      <w:bodyDiv w:val="1"/>
      <w:marLeft w:val="0"/>
      <w:marRight w:val="0"/>
      <w:marTop w:val="0"/>
      <w:marBottom w:val="0"/>
      <w:divBdr>
        <w:top w:val="none" w:sz="0" w:space="0" w:color="auto"/>
        <w:left w:val="none" w:sz="0" w:space="0" w:color="auto"/>
        <w:bottom w:val="none" w:sz="0" w:space="0" w:color="auto"/>
        <w:right w:val="none" w:sz="0" w:space="0" w:color="auto"/>
      </w:divBdr>
    </w:div>
    <w:div w:id="1079640328">
      <w:bodyDiv w:val="1"/>
      <w:marLeft w:val="0"/>
      <w:marRight w:val="0"/>
      <w:marTop w:val="0"/>
      <w:marBottom w:val="0"/>
      <w:divBdr>
        <w:top w:val="none" w:sz="0" w:space="0" w:color="auto"/>
        <w:left w:val="none" w:sz="0" w:space="0" w:color="auto"/>
        <w:bottom w:val="none" w:sz="0" w:space="0" w:color="auto"/>
        <w:right w:val="none" w:sz="0" w:space="0" w:color="auto"/>
      </w:divBdr>
    </w:div>
    <w:div w:id="1202212371">
      <w:bodyDiv w:val="1"/>
      <w:marLeft w:val="0"/>
      <w:marRight w:val="0"/>
      <w:marTop w:val="0"/>
      <w:marBottom w:val="0"/>
      <w:divBdr>
        <w:top w:val="none" w:sz="0" w:space="0" w:color="auto"/>
        <w:left w:val="none" w:sz="0" w:space="0" w:color="auto"/>
        <w:bottom w:val="none" w:sz="0" w:space="0" w:color="auto"/>
        <w:right w:val="none" w:sz="0" w:space="0" w:color="auto"/>
      </w:divBdr>
    </w:div>
    <w:div w:id="1221094153">
      <w:bodyDiv w:val="1"/>
      <w:marLeft w:val="0"/>
      <w:marRight w:val="0"/>
      <w:marTop w:val="0"/>
      <w:marBottom w:val="0"/>
      <w:divBdr>
        <w:top w:val="none" w:sz="0" w:space="0" w:color="auto"/>
        <w:left w:val="none" w:sz="0" w:space="0" w:color="auto"/>
        <w:bottom w:val="none" w:sz="0" w:space="0" w:color="auto"/>
        <w:right w:val="none" w:sz="0" w:space="0" w:color="auto"/>
      </w:divBdr>
    </w:div>
    <w:div w:id="1344085670">
      <w:bodyDiv w:val="1"/>
      <w:marLeft w:val="0"/>
      <w:marRight w:val="0"/>
      <w:marTop w:val="0"/>
      <w:marBottom w:val="0"/>
      <w:divBdr>
        <w:top w:val="none" w:sz="0" w:space="0" w:color="auto"/>
        <w:left w:val="none" w:sz="0" w:space="0" w:color="auto"/>
        <w:bottom w:val="none" w:sz="0" w:space="0" w:color="auto"/>
        <w:right w:val="none" w:sz="0" w:space="0" w:color="auto"/>
      </w:divBdr>
    </w:div>
    <w:div w:id="1547331334">
      <w:bodyDiv w:val="1"/>
      <w:marLeft w:val="0"/>
      <w:marRight w:val="0"/>
      <w:marTop w:val="0"/>
      <w:marBottom w:val="0"/>
      <w:divBdr>
        <w:top w:val="none" w:sz="0" w:space="0" w:color="auto"/>
        <w:left w:val="none" w:sz="0" w:space="0" w:color="auto"/>
        <w:bottom w:val="none" w:sz="0" w:space="0" w:color="auto"/>
        <w:right w:val="none" w:sz="0" w:space="0" w:color="auto"/>
      </w:divBdr>
    </w:div>
    <w:div w:id="1549024901">
      <w:bodyDiv w:val="1"/>
      <w:marLeft w:val="0"/>
      <w:marRight w:val="0"/>
      <w:marTop w:val="0"/>
      <w:marBottom w:val="0"/>
      <w:divBdr>
        <w:top w:val="none" w:sz="0" w:space="0" w:color="auto"/>
        <w:left w:val="none" w:sz="0" w:space="0" w:color="auto"/>
        <w:bottom w:val="none" w:sz="0" w:space="0" w:color="auto"/>
        <w:right w:val="none" w:sz="0" w:space="0" w:color="auto"/>
      </w:divBdr>
    </w:div>
    <w:div w:id="1580748375">
      <w:bodyDiv w:val="1"/>
      <w:marLeft w:val="0"/>
      <w:marRight w:val="0"/>
      <w:marTop w:val="0"/>
      <w:marBottom w:val="0"/>
      <w:divBdr>
        <w:top w:val="none" w:sz="0" w:space="0" w:color="auto"/>
        <w:left w:val="none" w:sz="0" w:space="0" w:color="auto"/>
        <w:bottom w:val="none" w:sz="0" w:space="0" w:color="auto"/>
        <w:right w:val="none" w:sz="0" w:space="0" w:color="auto"/>
      </w:divBdr>
    </w:div>
    <w:div w:id="1624967846">
      <w:bodyDiv w:val="1"/>
      <w:marLeft w:val="0"/>
      <w:marRight w:val="0"/>
      <w:marTop w:val="0"/>
      <w:marBottom w:val="0"/>
      <w:divBdr>
        <w:top w:val="none" w:sz="0" w:space="0" w:color="auto"/>
        <w:left w:val="none" w:sz="0" w:space="0" w:color="auto"/>
        <w:bottom w:val="none" w:sz="0" w:space="0" w:color="auto"/>
        <w:right w:val="none" w:sz="0" w:space="0" w:color="auto"/>
      </w:divBdr>
      <w:divsChild>
        <w:div w:id="971252985">
          <w:marLeft w:val="0"/>
          <w:marRight w:val="0"/>
          <w:marTop w:val="0"/>
          <w:marBottom w:val="0"/>
          <w:divBdr>
            <w:top w:val="none" w:sz="0" w:space="0" w:color="auto"/>
            <w:left w:val="none" w:sz="0" w:space="0" w:color="auto"/>
            <w:bottom w:val="none" w:sz="0" w:space="0" w:color="auto"/>
            <w:right w:val="none" w:sz="0" w:space="0" w:color="auto"/>
          </w:divBdr>
        </w:div>
        <w:div w:id="1766993093">
          <w:marLeft w:val="0"/>
          <w:marRight w:val="0"/>
          <w:marTop w:val="0"/>
          <w:marBottom w:val="0"/>
          <w:divBdr>
            <w:top w:val="none" w:sz="0" w:space="0" w:color="auto"/>
            <w:left w:val="none" w:sz="0" w:space="0" w:color="auto"/>
            <w:bottom w:val="none" w:sz="0" w:space="0" w:color="auto"/>
            <w:right w:val="none" w:sz="0" w:space="0" w:color="auto"/>
          </w:divBdr>
        </w:div>
        <w:div w:id="1103724514">
          <w:marLeft w:val="0"/>
          <w:marRight w:val="0"/>
          <w:marTop w:val="0"/>
          <w:marBottom w:val="0"/>
          <w:divBdr>
            <w:top w:val="none" w:sz="0" w:space="0" w:color="auto"/>
            <w:left w:val="none" w:sz="0" w:space="0" w:color="auto"/>
            <w:bottom w:val="none" w:sz="0" w:space="0" w:color="auto"/>
            <w:right w:val="none" w:sz="0" w:space="0" w:color="auto"/>
          </w:divBdr>
        </w:div>
        <w:div w:id="717975385">
          <w:marLeft w:val="0"/>
          <w:marRight w:val="0"/>
          <w:marTop w:val="0"/>
          <w:marBottom w:val="0"/>
          <w:divBdr>
            <w:top w:val="none" w:sz="0" w:space="0" w:color="auto"/>
            <w:left w:val="none" w:sz="0" w:space="0" w:color="auto"/>
            <w:bottom w:val="none" w:sz="0" w:space="0" w:color="auto"/>
            <w:right w:val="none" w:sz="0" w:space="0" w:color="auto"/>
          </w:divBdr>
        </w:div>
        <w:div w:id="439300316">
          <w:marLeft w:val="0"/>
          <w:marRight w:val="0"/>
          <w:marTop w:val="0"/>
          <w:marBottom w:val="0"/>
          <w:divBdr>
            <w:top w:val="none" w:sz="0" w:space="0" w:color="auto"/>
            <w:left w:val="none" w:sz="0" w:space="0" w:color="auto"/>
            <w:bottom w:val="none" w:sz="0" w:space="0" w:color="auto"/>
            <w:right w:val="none" w:sz="0" w:space="0" w:color="auto"/>
          </w:divBdr>
        </w:div>
        <w:div w:id="279726409">
          <w:marLeft w:val="0"/>
          <w:marRight w:val="0"/>
          <w:marTop w:val="0"/>
          <w:marBottom w:val="0"/>
          <w:divBdr>
            <w:top w:val="none" w:sz="0" w:space="0" w:color="auto"/>
            <w:left w:val="none" w:sz="0" w:space="0" w:color="auto"/>
            <w:bottom w:val="none" w:sz="0" w:space="0" w:color="auto"/>
            <w:right w:val="none" w:sz="0" w:space="0" w:color="auto"/>
          </w:divBdr>
        </w:div>
        <w:div w:id="1949317509">
          <w:marLeft w:val="0"/>
          <w:marRight w:val="0"/>
          <w:marTop w:val="0"/>
          <w:marBottom w:val="0"/>
          <w:divBdr>
            <w:top w:val="none" w:sz="0" w:space="0" w:color="auto"/>
            <w:left w:val="none" w:sz="0" w:space="0" w:color="auto"/>
            <w:bottom w:val="none" w:sz="0" w:space="0" w:color="auto"/>
            <w:right w:val="none" w:sz="0" w:space="0" w:color="auto"/>
          </w:divBdr>
        </w:div>
        <w:div w:id="804813831">
          <w:marLeft w:val="0"/>
          <w:marRight w:val="0"/>
          <w:marTop w:val="0"/>
          <w:marBottom w:val="0"/>
          <w:divBdr>
            <w:top w:val="none" w:sz="0" w:space="0" w:color="auto"/>
            <w:left w:val="none" w:sz="0" w:space="0" w:color="auto"/>
            <w:bottom w:val="none" w:sz="0" w:space="0" w:color="auto"/>
            <w:right w:val="none" w:sz="0" w:space="0" w:color="auto"/>
          </w:divBdr>
        </w:div>
        <w:div w:id="917712098">
          <w:marLeft w:val="0"/>
          <w:marRight w:val="0"/>
          <w:marTop w:val="0"/>
          <w:marBottom w:val="0"/>
          <w:divBdr>
            <w:top w:val="none" w:sz="0" w:space="0" w:color="auto"/>
            <w:left w:val="none" w:sz="0" w:space="0" w:color="auto"/>
            <w:bottom w:val="none" w:sz="0" w:space="0" w:color="auto"/>
            <w:right w:val="none" w:sz="0" w:space="0" w:color="auto"/>
          </w:divBdr>
        </w:div>
      </w:divsChild>
    </w:div>
    <w:div w:id="1678582691">
      <w:bodyDiv w:val="1"/>
      <w:marLeft w:val="0"/>
      <w:marRight w:val="0"/>
      <w:marTop w:val="0"/>
      <w:marBottom w:val="0"/>
      <w:divBdr>
        <w:top w:val="none" w:sz="0" w:space="0" w:color="auto"/>
        <w:left w:val="none" w:sz="0" w:space="0" w:color="auto"/>
        <w:bottom w:val="none" w:sz="0" w:space="0" w:color="auto"/>
        <w:right w:val="none" w:sz="0" w:space="0" w:color="auto"/>
      </w:divBdr>
    </w:div>
    <w:div w:id="1723019205">
      <w:bodyDiv w:val="1"/>
      <w:marLeft w:val="0"/>
      <w:marRight w:val="0"/>
      <w:marTop w:val="0"/>
      <w:marBottom w:val="0"/>
      <w:divBdr>
        <w:top w:val="none" w:sz="0" w:space="0" w:color="auto"/>
        <w:left w:val="none" w:sz="0" w:space="0" w:color="auto"/>
        <w:bottom w:val="none" w:sz="0" w:space="0" w:color="auto"/>
        <w:right w:val="none" w:sz="0" w:space="0" w:color="auto"/>
      </w:divBdr>
    </w:div>
    <w:div w:id="1811022982">
      <w:bodyDiv w:val="1"/>
      <w:marLeft w:val="0"/>
      <w:marRight w:val="0"/>
      <w:marTop w:val="0"/>
      <w:marBottom w:val="0"/>
      <w:divBdr>
        <w:top w:val="none" w:sz="0" w:space="0" w:color="auto"/>
        <w:left w:val="none" w:sz="0" w:space="0" w:color="auto"/>
        <w:bottom w:val="none" w:sz="0" w:space="0" w:color="auto"/>
        <w:right w:val="none" w:sz="0" w:space="0" w:color="auto"/>
      </w:divBdr>
      <w:divsChild>
        <w:div w:id="1433620943">
          <w:marLeft w:val="0"/>
          <w:marRight w:val="0"/>
          <w:marTop w:val="0"/>
          <w:marBottom w:val="0"/>
          <w:divBdr>
            <w:top w:val="none" w:sz="0" w:space="0" w:color="auto"/>
            <w:left w:val="none" w:sz="0" w:space="0" w:color="auto"/>
            <w:bottom w:val="none" w:sz="0" w:space="0" w:color="auto"/>
            <w:right w:val="none" w:sz="0" w:space="0" w:color="auto"/>
          </w:divBdr>
        </w:div>
        <w:div w:id="67961845">
          <w:marLeft w:val="0"/>
          <w:marRight w:val="0"/>
          <w:marTop w:val="0"/>
          <w:marBottom w:val="0"/>
          <w:divBdr>
            <w:top w:val="none" w:sz="0" w:space="0" w:color="auto"/>
            <w:left w:val="none" w:sz="0" w:space="0" w:color="auto"/>
            <w:bottom w:val="none" w:sz="0" w:space="0" w:color="auto"/>
            <w:right w:val="none" w:sz="0" w:space="0" w:color="auto"/>
          </w:divBdr>
        </w:div>
        <w:div w:id="890265703">
          <w:marLeft w:val="0"/>
          <w:marRight w:val="0"/>
          <w:marTop w:val="0"/>
          <w:marBottom w:val="0"/>
          <w:divBdr>
            <w:top w:val="none" w:sz="0" w:space="0" w:color="auto"/>
            <w:left w:val="none" w:sz="0" w:space="0" w:color="auto"/>
            <w:bottom w:val="none" w:sz="0" w:space="0" w:color="auto"/>
            <w:right w:val="none" w:sz="0" w:space="0" w:color="auto"/>
          </w:divBdr>
        </w:div>
        <w:div w:id="1997568216">
          <w:marLeft w:val="0"/>
          <w:marRight w:val="0"/>
          <w:marTop w:val="0"/>
          <w:marBottom w:val="0"/>
          <w:divBdr>
            <w:top w:val="none" w:sz="0" w:space="0" w:color="auto"/>
            <w:left w:val="none" w:sz="0" w:space="0" w:color="auto"/>
            <w:bottom w:val="none" w:sz="0" w:space="0" w:color="auto"/>
            <w:right w:val="none" w:sz="0" w:space="0" w:color="auto"/>
          </w:divBdr>
        </w:div>
        <w:div w:id="287664299">
          <w:marLeft w:val="0"/>
          <w:marRight w:val="0"/>
          <w:marTop w:val="0"/>
          <w:marBottom w:val="0"/>
          <w:divBdr>
            <w:top w:val="none" w:sz="0" w:space="0" w:color="auto"/>
            <w:left w:val="none" w:sz="0" w:space="0" w:color="auto"/>
            <w:bottom w:val="none" w:sz="0" w:space="0" w:color="auto"/>
            <w:right w:val="none" w:sz="0" w:space="0" w:color="auto"/>
          </w:divBdr>
        </w:div>
        <w:div w:id="405688715">
          <w:marLeft w:val="0"/>
          <w:marRight w:val="0"/>
          <w:marTop w:val="0"/>
          <w:marBottom w:val="0"/>
          <w:divBdr>
            <w:top w:val="none" w:sz="0" w:space="0" w:color="auto"/>
            <w:left w:val="none" w:sz="0" w:space="0" w:color="auto"/>
            <w:bottom w:val="none" w:sz="0" w:space="0" w:color="auto"/>
            <w:right w:val="none" w:sz="0" w:space="0" w:color="auto"/>
          </w:divBdr>
        </w:div>
        <w:div w:id="470942623">
          <w:marLeft w:val="0"/>
          <w:marRight w:val="0"/>
          <w:marTop w:val="0"/>
          <w:marBottom w:val="0"/>
          <w:divBdr>
            <w:top w:val="none" w:sz="0" w:space="0" w:color="auto"/>
            <w:left w:val="none" w:sz="0" w:space="0" w:color="auto"/>
            <w:bottom w:val="none" w:sz="0" w:space="0" w:color="auto"/>
            <w:right w:val="none" w:sz="0" w:space="0" w:color="auto"/>
          </w:divBdr>
        </w:div>
        <w:div w:id="41448453">
          <w:marLeft w:val="0"/>
          <w:marRight w:val="0"/>
          <w:marTop w:val="0"/>
          <w:marBottom w:val="0"/>
          <w:divBdr>
            <w:top w:val="none" w:sz="0" w:space="0" w:color="auto"/>
            <w:left w:val="none" w:sz="0" w:space="0" w:color="auto"/>
            <w:bottom w:val="none" w:sz="0" w:space="0" w:color="auto"/>
            <w:right w:val="none" w:sz="0" w:space="0" w:color="auto"/>
          </w:divBdr>
        </w:div>
        <w:div w:id="89471620">
          <w:marLeft w:val="0"/>
          <w:marRight w:val="0"/>
          <w:marTop w:val="0"/>
          <w:marBottom w:val="0"/>
          <w:divBdr>
            <w:top w:val="none" w:sz="0" w:space="0" w:color="auto"/>
            <w:left w:val="none" w:sz="0" w:space="0" w:color="auto"/>
            <w:bottom w:val="none" w:sz="0" w:space="0" w:color="auto"/>
            <w:right w:val="none" w:sz="0" w:space="0" w:color="auto"/>
          </w:divBdr>
        </w:div>
      </w:divsChild>
    </w:div>
    <w:div w:id="1817062706">
      <w:bodyDiv w:val="1"/>
      <w:marLeft w:val="0"/>
      <w:marRight w:val="0"/>
      <w:marTop w:val="0"/>
      <w:marBottom w:val="0"/>
      <w:divBdr>
        <w:top w:val="none" w:sz="0" w:space="0" w:color="auto"/>
        <w:left w:val="none" w:sz="0" w:space="0" w:color="auto"/>
        <w:bottom w:val="none" w:sz="0" w:space="0" w:color="auto"/>
        <w:right w:val="none" w:sz="0" w:space="0" w:color="auto"/>
      </w:divBdr>
      <w:divsChild>
        <w:div w:id="235214475">
          <w:marLeft w:val="0"/>
          <w:marRight w:val="0"/>
          <w:marTop w:val="0"/>
          <w:marBottom w:val="0"/>
          <w:divBdr>
            <w:top w:val="none" w:sz="0" w:space="0" w:color="auto"/>
            <w:left w:val="none" w:sz="0" w:space="0" w:color="auto"/>
            <w:bottom w:val="none" w:sz="0" w:space="0" w:color="auto"/>
            <w:right w:val="none" w:sz="0" w:space="0" w:color="auto"/>
          </w:divBdr>
        </w:div>
      </w:divsChild>
    </w:div>
    <w:div w:id="1888833485">
      <w:bodyDiv w:val="1"/>
      <w:marLeft w:val="0"/>
      <w:marRight w:val="0"/>
      <w:marTop w:val="0"/>
      <w:marBottom w:val="0"/>
      <w:divBdr>
        <w:top w:val="none" w:sz="0" w:space="0" w:color="auto"/>
        <w:left w:val="none" w:sz="0" w:space="0" w:color="auto"/>
        <w:bottom w:val="none" w:sz="0" w:space="0" w:color="auto"/>
        <w:right w:val="none" w:sz="0" w:space="0" w:color="auto"/>
      </w:divBdr>
      <w:divsChild>
        <w:div w:id="1514371651">
          <w:marLeft w:val="0"/>
          <w:marRight w:val="0"/>
          <w:marTop w:val="0"/>
          <w:marBottom w:val="0"/>
          <w:divBdr>
            <w:top w:val="none" w:sz="0" w:space="0" w:color="auto"/>
            <w:left w:val="none" w:sz="0" w:space="0" w:color="auto"/>
            <w:bottom w:val="none" w:sz="0" w:space="0" w:color="auto"/>
            <w:right w:val="none" w:sz="0" w:space="0" w:color="auto"/>
          </w:divBdr>
        </w:div>
      </w:divsChild>
    </w:div>
    <w:div w:id="19998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13</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Serize Portela, Jose Carlos</dc:creator>
  <cp:keywords/>
  <dc:description/>
  <cp:lastModifiedBy>Serize Portela, Jose Carlos</cp:lastModifiedBy>
  <cp:revision>12</cp:revision>
  <dcterms:created xsi:type="dcterms:W3CDTF">2025-03-28T20:27:00Z</dcterms:created>
  <dcterms:modified xsi:type="dcterms:W3CDTF">2025-04-03T04:21:00Z</dcterms:modified>
</cp:coreProperties>
</file>