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Aspect-Based Sentiment Analysis for Turkish E-Commerce Reviews Using BERTurk</w:t>
      </w:r>
      <w:r>
        <w:t xml:space="preserve"> </w:t>
      </w:r>
    </w:p>
    <w:p>
      <w:pPr>
        <w:pStyle w:val="Author"/>
      </w:pPr>
      <w:r>
        <w:t xml:space="preserve">Ahmet Furkan Faideci</w:t>
      </w:r>
      <w:r>
        <w:t xml:space="preserve">,</w:t>
      </w:r>
      <w:r>
        <w:t xml:space="preserve"> </w:t>
      </w:r>
      <w:r>
        <w:t xml:space="preserve">Hozan Baydu</w:t>
      </w:r>
      <w:r>
        <w:t xml:space="preserve">, and Serkan Eren,</w:t>
      </w:r>
      <w:r>
        <w:t xml:space="preserve"> </w:t>
      </w:r>
      <w:r>
        <w:t xml:space="preserve">,</w:t>
      </w:r>
    </w:p>
    <w:p>
      <w:pPr>
        <w:pStyle w:val="AbstractTitle"/>
      </w:pPr>
      <w:r>
        <w:t xml:space="preserve">Abstract</w:t>
      </w:r>
    </w:p>
    <w:p>
      <w:pPr>
        <w:pStyle w:val="Abstract"/>
      </w:pPr>
      <w:r>
        <w:t xml:space="preserve">This project presents a Turkish aspect-based sentiment analysis (ABSA) framework developed on a large-scale e-commerce review dataset collected from the Hepsiburada platform. Although ABSA has been well explored in English, existing Turkish sentiment models and datasets remain limited in scale and effectiveness, resulting in lower performance when handling multi-aspect Turkish reviews. A total of 54,416 customer reviews were gathered from 507 products spanning 10 major product categories, following a balanced data collection strategy that sampled up to 100 reviews from each star-rating level (1–5). This ensured a more uniform sentiment distribution and reduced bias toward highly positive or negative customer feedback. The dataset construction process involved automated extraction of best-selling products across categories, resulting in a scalable, reproducible pipeline suitable for NLP research. Building on this dataset, the proposed system aims to identify multiple product aspects—such as performance, durability, price, or packaging—and assign sentiment polarity (positive, negative, or neutral) to each detected aspect within a single Turkish review. The model architecture is based on fine-tuning BERTurk using a multi-label classification setup capable of producing structured outputs such as</w:t>
      </w:r>
      <w:r>
        <w:t xml:space="preserve"> </w:t>
      </w:r>
      <w:r>
        <w:t xml:space="preserve">“battery”</w:t>
      </w:r>
      <w:r>
        <w:t xml:space="preserve">:</w:t>
      </w:r>
      <w:r>
        <w:t xml:space="preserve"> </w:t>
      </w:r>
      <w:r>
        <w:t xml:space="preserve">“negative”</w:t>
      </w:r>
      <w:r>
        <w:t xml:space="preserve">,</w:t>
      </w:r>
      <w:r>
        <w:t xml:space="preserve"> </w:t>
      </w:r>
      <w:r>
        <w:t xml:space="preserve">“screen”</w:t>
      </w:r>
      <w:r>
        <w:t xml:space="preserve">:</w:t>
      </w:r>
      <w:r>
        <w:t xml:space="preserve"> </w:t>
      </w:r>
      <w:r>
        <w:t xml:space="preserve">“positive”</w:t>
      </w:r>
      <w:r>
        <w:t xml:space="preserve">. The overall goal is to develop a robust ABSA pipeline that contributes high-quality Turkish datasets, competitive benchmark results, and practical applications for e-commerce analytics and customer experience management.</w:t>
      </w:r>
    </w:p>
    <w:p>
      <w:pPr>
        <w:pStyle w:val="FirstParagraph"/>
      </w:pPr>
      <w:r>
        <w:t xml:space="preserve">Author</w:t>
      </w:r>
      <w:r>
        <w:t xml:space="preserve"> </w:t>
      </w:r>
      <w:r>
        <w:t xml:space="preserve">: Preparation of Papers for IEEE TRANSACTIONS and JOURNALS</w:t>
      </w:r>
      <w:r>
        <w:t xml:space="preserve"> </w:t>
      </w:r>
      <w:r>
        <w:t xml:space="preserve">Author</w:t>
      </w:r>
      <w:r>
        <w:t xml:space="preserve"> </w:t>
      </w:r>
      <w:r>
        <w:t xml:space="preserve">: Preparation of Papers for IEEE TRANSACTIONS and JOURNALS</w:t>
      </w:r>
    </w:p>
    <w:bookmarkStart w:id="9" w:name="sec:introduction"/>
    <w:p>
      <w:pPr>
        <w:pStyle w:val="Heading1"/>
      </w:pPr>
      <w:r>
        <w:t xml:space="preserve">Introduction</w:t>
      </w:r>
    </w:p>
    <w:p>
      <w:pPr>
        <w:pStyle w:val="FirstParagraph"/>
      </w:pPr>
      <w:r>
        <w:t xml:space="preserve"> </w:t>
      </w:r>
      <w:r>
        <w:t xml:space="preserve">increasing use of e-commerce platforms has led to an exponential growth in user-generated product reviews, which serve as a critical source of information for mining customer preferences and operationalizing feedback</w:t>
      </w:r>
      <w:r>
        <w:t xml:space="preserve"> </w:t>
      </w:r>
      <w:r>
        <w:t xml:space="preserve">(Hu and Liu 2004)</w:t>
      </w:r>
      <w:r>
        <w:t xml:space="preserve">. These reviews contain granular opinions on diverse product attributes—such as quality, logistics, pricing, and usability—making them indispensable for Natural Language Processing (NLP) tasks, including sentiment analysis and opinion mining. In Türkiye, Hepsiburada exemplifies this scale as a leading marketplace; as of late 2024, the platform reported a Net Promoter Score (NPS) of 74 and served over 12 million active customers, driven by initiatives such as its Premium membership program which reached 3.7 million users</w:t>
      </w:r>
      <w:r>
        <w:t xml:space="preserve"> </w:t>
      </w:r>
      <w:r>
        <w:t xml:space="preserve">(D-MARKET Electronic Services &amp; Trading 2024)</w:t>
      </w:r>
      <w:r>
        <w:t xml:space="preserve">.</w:t>
      </w:r>
    </w:p>
    <w:p>
      <w:pPr>
        <w:pStyle w:val="BodyText"/>
      </w:pPr>
      <w:r>
        <w:t xml:space="preserve">While traditional sentiment analysis typically assigns a single scalar polarity (positive, negative, or neutral) to an entire document, such document-level approaches fail to capture the complexity of customer feedback where conflicting opinions coexist (e.g., "fast shipping" but "poor quality"). Aspect-Based Sentiment Analysis (ABSA) addresses this limitation by identifying specific aspect terms and determining their associated sentiment polarities. ABSA has been rigorously standardized in English, largely driven by benchmark datasets from SemEval shared tasks</w:t>
      </w:r>
      <w:r>
        <w:t xml:space="preserve"> </w:t>
      </w:r>
      <w:r>
        <w:t xml:space="preserve">(</w:t>
      </w:r>
      <w:r>
        <w:t xml:space="preserve">Pontiki et al.</w:t>
      </w:r>
      <w:r>
        <w:t xml:space="preserve"> </w:t>
      </w:r>
      <w:r>
        <w:t xml:space="preserve">2016a)</w:t>
      </w:r>
      <w:r>
        <w:t xml:space="preserve">. Recent surveys</w:t>
      </w:r>
      <w:r>
        <w:t xml:space="preserve"> </w:t>
      </w:r>
      <w:r>
        <w:t xml:space="preserve">(Zhang et al. 2023; Hua et al. 2024)</w:t>
      </w:r>
      <w:r>
        <w:t xml:space="preserve"> </w:t>
      </w:r>
      <w:r>
        <w:t xml:space="preserve">classify these objectives into "Single ABSA" tasks (e.g., aspect extraction) and "Compound ABSA" tasks (e.g., joint aspect-sentiment extraction), highlighting the necessity of the latter for actionable business intelligence.</w:t>
      </w:r>
    </w:p>
    <w:p>
      <w:pPr>
        <w:pStyle w:val="BodyText"/>
      </w:pPr>
      <w:r>
        <w:t xml:space="preserve">In contrast, ABSA research for the Turkish language remains under-resourced. Existing studies have predominantly focused on document-level sentiment classification using classical machine learning or lexicon-based methods</w:t>
      </w:r>
      <w:r>
        <w:t xml:space="preserve"> </w:t>
      </w:r>
      <w:r>
        <w:t xml:space="preserve">(Demircan and Tuna 2021)</w:t>
      </w:r>
      <w:r>
        <w:t xml:space="preserve">. While the landscape has improved with the release of large-scale benchmarks like TrSAV1</w:t>
      </w:r>
      <w:r>
        <w:t xml:space="preserve"> </w:t>
      </w:r>
      <w:r>
        <w:t xml:space="preserve">(Aydoğan and Kocaman 2023)</w:t>
      </w:r>
      <w:r>
        <w:t xml:space="preserve">, which provides 150,000 labeled reviews, comprehensive resources for fine-grained token-level aspect annotation remain scarce. Furthermore, the agglutinative morphology of Turkish poses unique challenges for aspect extraction, creating a clear need for deep learning methodologies capable of capturing long-distance syntactic dependencies.</w:t>
      </w:r>
    </w:p>
    <w:p>
      <w:pPr>
        <w:pStyle w:val="BodyText"/>
      </w:pPr>
      <w:r>
        <w:t xml:space="preserve">To address this gap, this study proposes a transformer-based ABSA framework tailored for Turkish e-commerce text. The methodology leverages a dataset of 54,416 reviews collected from Hepsiburada across 10 major product categories, ensuring broad domain coverage from electronics to cosmetics. A detailed account of the dataset construction and annotation process is presented in Section III.</w:t>
      </w:r>
    </w:p>
    <w:p>
      <w:pPr>
        <w:pStyle w:val="BodyText"/>
      </w:pPr>
      <w:r>
        <w:t xml:space="preserve">Given the proven efficacy of pre-trained language models, the proposed approach employs BERTurk</w:t>
      </w:r>
      <w:r>
        <w:t xml:space="preserve"> </w:t>
      </w:r>
      <w:r>
        <w:t xml:space="preserve">(Schweter 2020)</w:t>
      </w:r>
      <w:r>
        <w:t xml:space="preserve"> </w:t>
      </w:r>
      <w:r>
        <w:t xml:space="preserve">as the backbone encoder. Recent empirical studies</w:t>
      </w:r>
      <w:r>
        <w:t xml:space="preserve"> </w:t>
      </w:r>
      <w:r>
        <w:t xml:space="preserve">(Bilgin and Turan 2025)</w:t>
      </w:r>
      <w:r>
        <w:t xml:space="preserve"> </w:t>
      </w:r>
      <w:r>
        <w:t xml:space="preserve">demonstrate that transformer-based pipelines significantly outperform traditional architectures in identifying aspect categories within Turkish multi-domain reviews. Building on this foundation, this research aims to design a robust methodology for extracting aspect–sentiment pairs, contributing both a structured dataset and a reproducible ABSA pipeline to the Turkish NLP community.</w:t>
      </w:r>
    </w:p>
    <w:p>
      <w:pPr>
        <w:pStyle w:val="BodyText"/>
      </w:pPr>
      <w:r>
        <w:t xml:space="preserve">The remaining sections of this paper describe related work (Section II), the dataset characteristics (Section III), the proposed methodology (Section IV), and the preliminary findings (Section V).</w:t>
      </w:r>
    </w:p>
    <w:bookmarkEnd w:id="9"/>
    <w:bookmarkStart w:id="13" w:name="sec:related_work"/>
    <w:p>
      <w:pPr>
        <w:pStyle w:val="Heading1"/>
      </w:pPr>
      <w:r>
        <w:t xml:space="preserve">Related Work</w:t>
      </w:r>
    </w:p>
    <w:p>
      <w:pPr>
        <w:pStyle w:val="FirstParagraph"/>
      </w:pPr>
      <w:r>
        <w:t xml:space="preserve">Sentiment analysis, also known as opinion mining, has established itself as a fundamental task in Natural Language Processing (NLP), enabling the automated extraction of subjective information from user-generated content</w:t>
      </w:r>
      <w:r>
        <w:t xml:space="preserve"> </w:t>
      </w:r>
      <w:r>
        <w:t xml:space="preserve">(Hu and Liu 2004)</w:t>
      </w:r>
      <w:r>
        <w:t xml:space="preserve">. While traditional approaches successfully categorize text at the document or sentence level, they often lack the granularity required to disentangle conflicting opinions regarding different attributes of a single entity (e.g., a product with a "great screen" but "poor battery").</w:t>
      </w:r>
    </w:p>
    <w:bookmarkStart w:id="10" w:name="X6c90fb7baca7106ecedfd8ef7318462d5f6256e"/>
    <w:p>
      <w:pPr>
        <w:pStyle w:val="Heading2"/>
      </w:pPr>
      <w:r>
        <w:t xml:space="preserve">Evolution of Aspect-Based Sentiment Analysis</w:t>
      </w:r>
    </w:p>
    <w:p>
      <w:pPr>
        <w:pStyle w:val="FirstParagraph"/>
      </w:pPr>
      <w:r>
        <w:t xml:space="preserve">To address the limitations of coarse-grained analysis, Aspect-Based Sentiment Analysis (ABSA) focuses on identifying specific aspect terms and resolving their associated sentiment polarities. Early research relied heavily on feature engineering and static sentiment lexicons, but the field has since shifted toward deep learning architectures. As detailed in recent comprehensive surveys by Zhang et al.</w:t>
      </w:r>
      <w:r>
        <w:t xml:space="preserve"> </w:t>
      </w:r>
      <w:r>
        <w:t xml:space="preserve">(Zhang et al. 2023)</w:t>
      </w:r>
      <w:r>
        <w:t xml:space="preserve"> </w:t>
      </w:r>
      <w:r>
        <w:t xml:space="preserve">and Hua et al.</w:t>
      </w:r>
      <w:r>
        <w:t xml:space="preserve"> </w:t>
      </w:r>
      <w:r>
        <w:t xml:space="preserve">(Hua et al. 2024)</w:t>
      </w:r>
      <w:r>
        <w:t xml:space="preserve">, modern ABSA is categorized into "Single ABSA" tasks (e.g., Aspect Term Extraction) and "Compound ABSA" tasks (e.g., Aspect-Sentiment Triplet Extraction). The latter, which solves extraction and classification jointly, is currently considered the state-of-the-art for minimizing error propagation.</w:t>
      </w:r>
    </w:p>
    <w:bookmarkEnd w:id="10"/>
    <w:bookmarkStart w:id="11" w:name="turkish-sentiment-analysis-landscape"/>
    <w:p>
      <w:pPr>
        <w:pStyle w:val="Heading2"/>
      </w:pPr>
      <w:r>
        <w:t xml:space="preserve">Turkish Sentiment Analysis Landscape</w:t>
      </w:r>
    </w:p>
    <w:p>
      <w:pPr>
        <w:pStyle w:val="FirstParagraph"/>
      </w:pPr>
      <w:r>
        <w:t xml:space="preserve">Unlike English, which benefits from massive annotated corpora and established benchmarks like the SemEval Shared Tasks</w:t>
      </w:r>
      <w:r>
        <w:t xml:space="preserve"> </w:t>
      </w:r>
      <w:r>
        <w:t xml:space="preserve">(</w:t>
      </w:r>
      <w:r>
        <w:t xml:space="preserve">Pontiki et al.</w:t>
      </w:r>
      <w:r>
        <w:t xml:space="preserve"> </w:t>
      </w:r>
      <w:r>
        <w:t xml:space="preserve">2016a)</w:t>
      </w:r>
      <w:r>
        <w:t xml:space="preserve">, research on Turkish sentiment analysis faces significant resource constraints. Early studies on Turkish predominantly utilized morphological analysis combined with classical machine learning algorithms such as Naïve Bayes and Support Vector Machines (SVM) to predict document-level polarity</w:t>
      </w:r>
      <w:r>
        <w:t xml:space="preserve"> </w:t>
      </w:r>
      <w:r>
        <w:t xml:space="preserve">(Demircan and Tuna 2021)</w:t>
      </w:r>
      <w:r>
        <w:t xml:space="preserve">.</w:t>
      </w:r>
    </w:p>
    <w:p>
      <w:pPr>
        <w:pStyle w:val="BodyText"/>
      </w:pPr>
      <w:r>
        <w:t xml:space="preserve">A major bottleneck has been the scarcity of large-scale, publicly available datasets. While the SemEval-2016 Task 5 provided a gold-standard dataset for Turkish ABSA, it is limited to the restaurant domain and contains fewer than 2,000 sentences, restricting its utility for training deep neural networks from scratch. More recently, Aydoğan and Kocaman introduced TrSAV1</w:t>
      </w:r>
      <w:r>
        <w:t xml:space="preserve"> </w:t>
      </w:r>
      <w:r>
        <w:t xml:space="preserve">(Aydoğan and Kocaman 2023)</w:t>
      </w:r>
      <w:r>
        <w:t xml:space="preserve">, a massive benchmark comprising 150,000 e-commerce reviews. However, TrSAV1 is annotated only for document-level sentiment (Positive/Neutral/Negative), leaving a gap for large-scale, token-level aspect annotations required for fine-grained ABSA.</w:t>
      </w:r>
    </w:p>
    <w:bookmarkEnd w:id="11"/>
    <w:bookmarkStart w:id="12" w:name="transformer-based-approaches-in-turkish"/>
    <w:p>
      <w:pPr>
        <w:pStyle w:val="Heading2"/>
      </w:pPr>
      <w:r>
        <w:t xml:space="preserve">Transformer-Based Approaches in Turkish</w:t>
      </w:r>
    </w:p>
    <w:p>
      <w:pPr>
        <w:pStyle w:val="FirstParagraph"/>
      </w:pPr>
      <w:r>
        <w:t xml:space="preserve">The advent of Transformer architectures has revolutionized Turkish NLP. The release of BERTurk</w:t>
      </w:r>
      <w:r>
        <w:t xml:space="preserve"> </w:t>
      </w:r>
      <w:r>
        <w:t xml:space="preserve">(Schweter 2020)</w:t>
      </w:r>
      <w:r>
        <w:t xml:space="preserve">, a BERT model pre-trained specifically on a large Turkish corpus, addressed many challenges posed by the language’s agglutinative morphology. Recent studies have begun to leverage these models for ABSA. For instance, Bilgin and Turan</w:t>
      </w:r>
      <w:r>
        <w:t xml:space="preserve"> </w:t>
      </w:r>
      <w:r>
        <w:t xml:space="preserve">(Bilgin and Turan 2025)</w:t>
      </w:r>
      <w:r>
        <w:t xml:space="preserve"> </w:t>
      </w:r>
      <w:r>
        <w:t xml:space="preserve">demonstrated that fine-tuning BERTurk on sequential classification tasks significantly outperforms traditional lexicon-based methods in extracting aspect categories. Similarly, other recent works have explored pipeline approaches that first extract targets and then classify sentiments</w:t>
      </w:r>
      <w:r>
        <w:t xml:space="preserve"> </w:t>
      </w:r>
      <w:r>
        <w:t xml:space="preserve">(</w:t>
      </w:r>
      <w:r>
        <w:t xml:space="preserve">Özkan et al.</w:t>
      </w:r>
      <w:r>
        <w:t xml:space="preserve"> </w:t>
      </w:r>
      <w:r>
        <w:t xml:space="preserve">2022)</w:t>
      </w:r>
      <w:r>
        <w:t xml:space="preserve">.</w:t>
      </w:r>
    </w:p>
    <w:p>
      <w:pPr>
        <w:pStyle w:val="BodyText"/>
      </w:pPr>
      <w:r>
        <w:t xml:space="preserve">Despite these advancements, most existing Turkish ABSA frameworks either rely on small, single-domain datasets (like restaurants) or treat aspect extraction and sentiment classification as isolated pipeline steps. There remains a distinct lack of a unified, multi-domain framework trained on a large-scale corpus that can handle the compound task of extracting aspect-sentiment pairs simultaneously. This study aims to bridge this gap by introducing a broad-coverage dataset and a transformer-based methodology tailored for the Turkish e-commerce context.</w:t>
      </w:r>
    </w:p>
    <w:bookmarkEnd w:id="12"/>
    <w:bookmarkEnd w:id="13"/>
    <w:bookmarkStart w:id="20" w:name="sec:dataset_construction"/>
    <w:p>
      <w:pPr>
        <w:pStyle w:val="Heading1"/>
      </w:pPr>
      <w:r>
        <w:t xml:space="preserve">Dataset Construction</w:t>
      </w:r>
    </w:p>
    <w:p>
      <w:pPr>
        <w:pStyle w:val="FirstParagraph"/>
      </w:pPr>
      <w:r>
        <w:t xml:space="preserve">This study establishes a large-scale, multi-domain corpus of Turkish e-commerce product reviews sourced from Hepsiburada, one of the dominant online marketplaces in Türkiye. As of late 2024, Hepsiburada hosts over 200 million Stock Keeping Units (SKUs) and serves approximately 12 million active customers</w:t>
      </w:r>
      <w:r>
        <w:t xml:space="preserve"> </w:t>
      </w:r>
      <w:r>
        <w:t xml:space="preserve">(D-MARKET Electronic Services &amp; Trading 2024)</w:t>
      </w:r>
      <w:r>
        <w:t xml:space="preserve">, making it a representative source for analyzing Turkish consumer sentiment.</w:t>
      </w:r>
    </w:p>
    <w:p>
      <w:pPr>
        <w:pStyle w:val="BodyText"/>
      </w:pPr>
      <w:r>
        <w:t xml:space="preserve">The primary objective of the dataset construction was to mitigate the domain-dependency and polarity imbalance often observed in raw web-scraped corpora. The final curated dataset consists of 54,416 user-generated reviews collected from 507 products across 10 major categories, specifically structured to support Aspect-Based Sentiment Analysis (ABSA) and cross-domain generalization.</w:t>
      </w:r>
    </w:p>
    <w:bookmarkStart w:id="14" w:name="category-selection"/>
    <w:p>
      <w:pPr>
        <w:pStyle w:val="Heading2"/>
      </w:pPr>
      <w:r>
        <w:t xml:space="preserve">Category Selection</w:t>
      </w:r>
    </w:p>
    <w:p>
      <w:pPr>
        <w:pStyle w:val="FirstParagraph"/>
      </w:pPr>
      <w:r>
        <w:t xml:space="preserve">To ensure broad semantic coverage, the data collection process targeted eleven high-volume product categories. Reviews were successfully harvested from the following ten categories, selected to represent varying levels of subjectivity and aspect complexity (e.g., "technical specs" in Electronics vs. "aesthetic preferences" in Fashion):</w:t>
      </w:r>
    </w:p>
    <w:p>
      <w:pPr>
        <w:numPr>
          <w:ilvl w:val="0"/>
          <w:numId w:val="1001"/>
        </w:numPr>
      </w:pPr>
      <w:r>
        <w:t xml:space="preserve">Home Improvement</w:t>
      </w:r>
    </w:p>
    <w:p>
      <w:pPr>
        <w:numPr>
          <w:ilvl w:val="0"/>
          <w:numId w:val="1001"/>
        </w:numPr>
      </w:pPr>
      <w:r>
        <w:t xml:space="preserve">Fashion (Clothing &amp; Footwear)</w:t>
      </w:r>
    </w:p>
    <w:p>
      <w:pPr>
        <w:numPr>
          <w:ilvl w:val="0"/>
          <w:numId w:val="1001"/>
        </w:numPr>
      </w:pPr>
      <w:r>
        <w:t xml:space="preserve">Sports &amp; Fitness Equipment</w:t>
      </w:r>
    </w:p>
    <w:p>
      <w:pPr>
        <w:numPr>
          <w:ilvl w:val="0"/>
          <w:numId w:val="1001"/>
        </w:numPr>
      </w:pPr>
      <w:r>
        <w:t xml:space="preserve">Cosmetics</w:t>
      </w:r>
    </w:p>
    <w:p>
      <w:pPr>
        <w:numPr>
          <w:ilvl w:val="0"/>
          <w:numId w:val="1001"/>
        </w:numPr>
      </w:pPr>
      <w:r>
        <w:t xml:space="preserve">Supermarket</w:t>
      </w:r>
    </w:p>
    <w:p>
      <w:pPr>
        <w:numPr>
          <w:ilvl w:val="0"/>
          <w:numId w:val="1001"/>
        </w:numPr>
      </w:pPr>
      <w:r>
        <w:t xml:space="preserve">Books</w:t>
      </w:r>
    </w:p>
    <w:p>
      <w:pPr>
        <w:numPr>
          <w:ilvl w:val="0"/>
          <w:numId w:val="1001"/>
        </w:numPr>
      </w:pPr>
      <w:r>
        <w:t xml:space="preserve">Kitchenware</w:t>
      </w:r>
    </w:p>
    <w:p>
      <w:pPr>
        <w:numPr>
          <w:ilvl w:val="0"/>
          <w:numId w:val="1001"/>
        </w:numPr>
      </w:pPr>
      <w:r>
        <w:t xml:space="preserve">Small Home Appliances</w:t>
      </w:r>
    </w:p>
    <w:p>
      <w:pPr>
        <w:numPr>
          <w:ilvl w:val="0"/>
          <w:numId w:val="1001"/>
        </w:numPr>
      </w:pPr>
      <w:r>
        <w:t xml:space="preserve">Auto Accessories</w:t>
      </w:r>
    </w:p>
    <w:p>
      <w:pPr>
        <w:numPr>
          <w:ilvl w:val="0"/>
          <w:numId w:val="1001"/>
        </w:numPr>
      </w:pPr>
      <w:r>
        <w:t xml:space="preserve">Mother, Baby &amp; Toys</w:t>
      </w:r>
    </w:p>
    <w:p>
      <w:pPr>
        <w:pStyle w:val="FirstParagraph"/>
      </w:pPr>
      <w:r>
        <w:rPr>
          <w:i/>
          <w:iCs/>
        </w:rPr>
        <w:t xml:space="preserve">Note on Exclusions:</w:t>
      </w:r>
      <w:r>
        <w:t xml:space="preserve"> </w:t>
      </w:r>
      <w:r>
        <w:t xml:space="preserve">The</w:t>
      </w:r>
      <w:r>
        <w:t xml:space="preserve"> </w:t>
      </w:r>
      <w:r>
        <w:rPr>
          <w:b/>
          <w:bCs/>
        </w:rPr>
        <w:t xml:space="preserve">Furniture</w:t>
      </w:r>
      <w:r>
        <w:t xml:space="preserve"> </w:t>
      </w:r>
      <w:r>
        <w:t xml:space="preserve">category was excluded from the final dataset. During the extraction phase, significant inconsistencies were observed in the Document Object Model (DOM) structure of furniture product pages—likely due to dynamic content loading for variable product attributes (dimensions, fabrics)—which compromised the reliability of the automated scraper.</w:t>
      </w:r>
    </w:p>
    <w:bookmarkEnd w:id="14"/>
    <w:bookmarkStart w:id="15" w:name="product-sampling-strategy"/>
    <w:p>
      <w:pPr>
        <w:pStyle w:val="Heading2"/>
      </w:pPr>
      <w:r>
        <w:t xml:space="preserve">Product Sampling Strategy</w:t>
      </w:r>
    </w:p>
    <w:p>
      <w:pPr>
        <w:pStyle w:val="FirstParagraph"/>
      </w:pPr>
      <w:r>
        <w:t xml:space="preserve">To minimize selection bias, a stratified sampling approach was employed based on the platform’s "Best Sellers" ranking algorithm. For each category, the top 60 products were targeted by scanning the first three results pages (20 products per page).</w:t>
      </w:r>
    </w:p>
    <w:p>
      <w:pPr>
        <w:pStyle w:val="BodyText"/>
      </w:pPr>
      <w:r>
        <w:t xml:space="preserve">Out of the initial pool of 516 targeted products, 507 were successfully processed. The remaining 9 products were dropped due to extraction errors caused by page redirection or stock unavailability during the scraping window. This strategy ensured the corpus reflects high-demand items where consumer feedback is most voluminous and linguistically rich.</w:t>
      </w:r>
    </w:p>
    <w:bookmarkEnd w:id="15"/>
    <w:bookmarkStart w:id="16" w:name="review-collection-and-polarity-balancing"/>
    <w:p>
      <w:pPr>
        <w:pStyle w:val="Heading2"/>
      </w:pPr>
      <w:r>
        <w:t xml:space="preserve">Review Collection and Polarity Balancing</w:t>
      </w:r>
    </w:p>
    <w:p>
      <w:pPr>
        <w:pStyle w:val="FirstParagraph"/>
      </w:pPr>
      <w:r>
        <w:t xml:space="preserve">A critical challenge in e-commerce sentiment analysis is the "J-shaped" distribution of user ratings, where reviews are overwhelmingly skewed toward positive (5-star) values, causing varying degrees of under-reporting bias for negative experiences</w:t>
      </w:r>
      <w:r>
        <w:t xml:space="preserve"> </w:t>
      </w:r>
      <w:r>
        <w:t xml:space="preserve">(Hu et al. 2009)</w:t>
      </w:r>
      <w:r>
        <w:t xml:space="preserve">. Training a model on such naturally skewed data often leads to poor performance in detecting negative or neutral sentiments.</w:t>
      </w:r>
    </w:p>
    <w:p>
      <w:pPr>
        <w:pStyle w:val="BodyText"/>
      </w:pPr>
      <w:r>
        <w:t xml:space="preserve">To address this, we implemented a quota-based sampling strategy. Instead of collecting all available reviews, we filtered reviews by their star rating (1 to 5) and capped collection at 100 reviews per rating level per product.</w:t>
      </w:r>
    </w:p>
    <w:p>
      <w:pPr>
        <w:numPr>
          <w:ilvl w:val="0"/>
          <w:numId w:val="1002"/>
        </w:numPr>
      </w:pPr>
      <w:r>
        <w:rPr>
          <w:b/>
          <w:bCs/>
        </w:rPr>
        <w:t xml:space="preserve">Maximum per product:</w:t>
      </w:r>
      <w:r>
        <w:t xml:space="preserve"> </w:t>
      </w:r>
      <w:r>
        <w:t xml:space="preserve">500 reviews (100</w:t>
      </w:r>
      <w:r>
        <w:t xml:space="preserve"> </w:t>
      </w:r>
      <m:oMath>
        <m:r>
          <m:rPr>
            <m:sty m:val="p"/>
          </m:rPr>
          <m:t>×</m:t>
        </m:r>
      </m:oMath>
      <w:r>
        <w:t xml:space="preserve"> </w:t>
      </w:r>
      <w:r>
        <w:t xml:space="preserve">5 ratings).</w:t>
      </w:r>
    </w:p>
    <w:p>
      <w:pPr>
        <w:numPr>
          <w:ilvl w:val="0"/>
          <w:numId w:val="1002"/>
        </w:numPr>
      </w:pPr>
      <w:r>
        <w:rPr>
          <w:b/>
          <w:bCs/>
        </w:rPr>
        <w:t xml:space="preserve">Result:</w:t>
      </w:r>
      <w:r>
        <w:t xml:space="preserve"> </w:t>
      </w:r>
      <w:r>
        <w:t xml:space="preserve">A uniform distribution of polarities, ensuring that 1-star (strong negative) and 3-star (neutral/mixed) reviews are adequately represented alongside the abundant 5-star reviews.</w:t>
      </w:r>
    </w:p>
    <w:p>
      <w:pPr>
        <w:pStyle w:val="FirstParagraph"/>
      </w:pPr>
      <w:r>
        <w:t xml:space="preserve">This balancing act is crucial for ABSA, as negative reviews often contain more detailed aspect-specific criticism (e.g., "The</w:t>
      </w:r>
      <w:r>
        <w:t xml:space="preserve"> </w:t>
      </w:r>
      <w:r>
        <w:rPr>
          <w:i/>
          <w:iCs/>
        </w:rPr>
        <w:t xml:space="preserve">suction power</w:t>
      </w:r>
      <w:r>
        <w:t xml:space="preserve"> </w:t>
      </w:r>
      <w:r>
        <w:t xml:space="preserve">is weak") compared to generic positive praise.</w:t>
      </w:r>
    </w:p>
    <w:bookmarkEnd w:id="16"/>
    <w:bookmarkStart w:id="17" w:name="data-preprocessing"/>
    <w:p>
      <w:pPr>
        <w:pStyle w:val="Heading2"/>
      </w:pPr>
      <w:r>
        <w:t xml:space="preserve">Data Preprocessing</w:t>
      </w:r>
    </w:p>
    <w:p>
      <w:pPr>
        <w:pStyle w:val="FirstParagraph"/>
      </w:pPr>
      <w:r>
        <w:t xml:space="preserve">Following extraction, the raw text data underwent a standardized preprocessing pipeline to ensure quality and consistency (see Fig.</w:t>
      </w:r>
      <w:r>
        <w:t xml:space="preserve"> </w:t>
      </w:r>
      <w:r>
        <w:t xml:space="preserve">). The Python-based cleaning process involved the following steps:</w:t>
      </w:r>
    </w:p>
    <w:p>
      <w:pPr>
        <w:numPr>
          <w:ilvl w:val="0"/>
          <w:numId w:val="1003"/>
        </w:numPr>
      </w:pPr>
      <w:r>
        <w:rPr>
          <w:b/>
          <w:bCs/>
        </w:rPr>
        <w:t xml:space="preserve">Deduplication:</w:t>
      </w:r>
      <w:r>
        <w:t xml:space="preserve"> </w:t>
      </w:r>
      <w:r>
        <w:t xml:space="preserve">Duplicate entries were removed based on the ‘review_text‘ column to prevent data leakage between train/test splits.</w:t>
      </w:r>
    </w:p>
    <w:p>
      <w:pPr>
        <w:numPr>
          <w:ilvl w:val="0"/>
          <w:numId w:val="1003"/>
        </w:numPr>
      </w:pPr>
      <w:r>
        <w:rPr>
          <w:b/>
          <w:bCs/>
        </w:rPr>
        <w:t xml:space="preserve">Normalization:</w:t>
      </w:r>
      <w:r>
        <w:t xml:space="preserve"> </w:t>
      </w:r>
      <w:r>
        <w:t xml:space="preserve">All text was converted to lowercase to unify case-sensitive tokens (e.g., "Ürün"</w:t>
      </w:r>
      <w:r>
        <w:t xml:space="preserve"> </w:t>
      </w:r>
      <m:oMath>
        <m:r>
          <m:rPr>
            <m:sty m:val="p"/>
          </m:rPr>
          <m:t>→</m:t>
        </m:r>
      </m:oMath>
      <w:r>
        <w:t xml:space="preserve"> </w:t>
      </w:r>
      <w:r>
        <w:t xml:space="preserve">"ürün").</w:t>
      </w:r>
    </w:p>
    <w:p>
      <w:pPr>
        <w:numPr>
          <w:ilvl w:val="0"/>
          <w:numId w:val="1003"/>
        </w:numPr>
      </w:pPr>
      <w:r>
        <w:rPr>
          <w:b/>
          <w:bCs/>
        </w:rPr>
        <w:t xml:space="preserve">Noise Removal:</w:t>
      </w:r>
      <w:r>
        <w:t xml:space="preserve"> </w:t>
      </w:r>
      <w:r>
        <w:t xml:space="preserve">A regular expression filter (</w:t>
      </w:r>
      <w:r>
        <w:rPr>
          <w:rStyle w:val="VerbatimChar"/>
        </w:rPr>
        <w:t xml:space="preserve">[^a-z0-9çğıöşü\s]</w:t>
      </w:r>
      <w:r>
        <w:t xml:space="preserve">) was applied to remove special characters and punctuation while strictly preserving Turkish specific characters (ç, ğ, ı, ö, ş, ü) and alphanumeric tokens.</w:t>
      </w:r>
    </w:p>
    <w:p>
      <w:pPr>
        <w:numPr>
          <w:ilvl w:val="0"/>
          <w:numId w:val="1003"/>
        </w:numPr>
      </w:pPr>
      <w:r>
        <w:rPr>
          <w:b/>
          <w:bCs/>
        </w:rPr>
        <w:t xml:space="preserve">Null Handling:</w:t>
      </w:r>
      <w:r>
        <w:t xml:space="preserve"> </w:t>
      </w:r>
      <w:r>
        <w:t xml:space="preserve">Rows with missing or empty review texts were dropped.</w:t>
      </w:r>
    </w:p>
    <w:bookmarkEnd w:id="17"/>
    <w:bookmarkStart w:id="19" w:name="final-dataset-characteristics"/>
    <w:p>
      <w:pPr>
        <w:pStyle w:val="Heading2"/>
      </w:pPr>
      <w:r>
        <w:t xml:space="preserve">Final Dataset Characteristics</w:t>
      </w:r>
    </w:p>
    <w:p>
      <w:pPr>
        <w:pStyle w:val="FirstParagraph"/>
      </w:pPr>
      <w:r>
        <w:t xml:space="preserve">The post-processed dataset contains</w:t>
      </w:r>
      <w:r>
        <w:t xml:space="preserve"> </w:t>
      </w:r>
      <w:r>
        <w:rPr>
          <w:b/>
          <w:bCs/>
        </w:rPr>
        <w:t xml:space="preserve">54,416</w:t>
      </w:r>
      <w:r>
        <w:t xml:space="preserve"> </w:t>
      </w:r>
      <w:r>
        <w:t xml:space="preserve">reviews. Unlike single-domain datasets (e.g., movie reviews), this corpus spans diverse semantic fields—from the durability of "Auto Accessories" to the texture of "Cosmetics"—providing a robust foundation for training transformer-based models that can generalize across different industrial contexts.</w:t>
      </w:r>
    </w:p>
    <w:bookmarkStart w:id="18" w:name="tab:dataset_stats"/>
    <w:p>
      <w:pPr>
        <w:pStyle w:val="TableCaption"/>
      </w:pPr>
      <w:r>
        <w:t xml:space="preserve">Summary of Final Dataset Statistics</w:t>
      </w:r>
    </w:p>
    <w:tbl>
      <w:tblPr>
        <w:tblStyle w:val="Table"/>
        <w:tblW w:type="auto" w:w="0"/>
        <w:tblLook w:firstRow="1" w:lastRow="0" w:firstColumn="0" w:lastColumn="0" w:noHBand="0" w:noVBand="0" w:val="0020"/>
        <w:tblCaption w:val="Summary of Final Dataset Statistics"/>
      </w:tblPr>
      <w:tblGrid>
        <w:gridCol w:w="3960"/>
        <w:gridCol w:w="3960"/>
      </w:tblGrid>
      <w:tr>
        <w:trPr>
          <w:tblHeader w:val="on"/>
        </w:trPr>
        <w:tc>
          <w:tcPr/>
          <w:p>
            <w:pPr>
              <w:pStyle w:val="Compact"/>
              <w:jc w:val="left"/>
            </w:pPr>
            <w:r>
              <w:rPr>
                <w:b/>
                <w:bCs/>
              </w:rPr>
              <w:t xml:space="preserve">Metric</w:t>
            </w:r>
          </w:p>
        </w:tc>
        <w:tc>
          <w:tcPr/>
          <w:p>
            <w:pPr>
              <w:pStyle w:val="Compact"/>
              <w:jc w:val="left"/>
            </w:pPr>
            <w:r>
              <w:rPr>
                <w:b/>
                <w:bCs/>
              </w:rPr>
              <w:t xml:space="preserve">Count</w:t>
            </w:r>
          </w:p>
        </w:tc>
      </w:tr>
      <w:tr>
        <w:tc>
          <w:tcPr/>
          <w:p>
            <w:pPr>
              <w:pStyle w:val="Compact"/>
              <w:jc w:val="left"/>
            </w:pPr>
            <w:r>
              <w:t xml:space="preserve">Total Reviews</w:t>
            </w:r>
          </w:p>
        </w:tc>
        <w:tc>
          <w:tcPr/>
          <w:p>
            <w:pPr>
              <w:pStyle w:val="Compact"/>
              <w:jc w:val="left"/>
            </w:pPr>
            <w:r>
              <w:t xml:space="preserve">54,416</w:t>
            </w:r>
          </w:p>
        </w:tc>
      </w:tr>
      <w:tr>
        <w:tc>
          <w:tcPr/>
          <w:p>
            <w:pPr>
              <w:pStyle w:val="Compact"/>
              <w:jc w:val="left"/>
            </w:pPr>
            <w:r>
              <w:t xml:space="preserve">Unique Products</w:t>
            </w:r>
          </w:p>
        </w:tc>
        <w:tc>
          <w:tcPr/>
          <w:p>
            <w:pPr>
              <w:pStyle w:val="Compact"/>
              <w:jc w:val="left"/>
            </w:pPr>
            <w:r>
              <w:t xml:space="preserve">507</w:t>
            </w:r>
          </w:p>
        </w:tc>
      </w:tr>
      <w:tr>
        <w:tc>
          <w:tcPr/>
          <w:p>
            <w:pPr>
              <w:pStyle w:val="Compact"/>
              <w:jc w:val="left"/>
            </w:pPr>
            <w:r>
              <w:t xml:space="preserve">Categories</w:t>
            </w:r>
          </w:p>
        </w:tc>
        <w:tc>
          <w:tcPr/>
          <w:p>
            <w:pPr>
              <w:pStyle w:val="Compact"/>
              <w:jc w:val="left"/>
            </w:pPr>
            <w:r>
              <w:t xml:space="preserve">10</w:t>
            </w:r>
          </w:p>
        </w:tc>
      </w:tr>
      <w:tr>
        <w:tc>
          <w:tcPr/>
          <w:p>
            <w:pPr>
              <w:pStyle w:val="Compact"/>
              <w:jc w:val="left"/>
            </w:pPr>
            <w:r>
              <w:t xml:space="preserve">Avg. Reviews per Product</w:t>
            </w:r>
          </w:p>
        </w:tc>
        <w:tc>
          <w:tcPr/>
          <w:p>
            <w:pPr>
              <w:pStyle w:val="Compact"/>
              <w:jc w:val="left"/>
            </w:pPr>
            <m:oMath>
              <m:r>
                <m:rPr>
                  <m:sty m:val="p"/>
                </m:rPr>
                <m:t>∼</m:t>
              </m:r>
            </m:oMath>
            <w:r>
              <w:t xml:space="preserve">107</w:t>
            </w:r>
          </w:p>
        </w:tc>
      </w:tr>
      <w:tr>
        <w:tc>
          <w:tcPr/>
          <w:p>
            <w:pPr>
              <w:pStyle w:val="Compact"/>
              <w:jc w:val="left"/>
            </w:pPr>
            <w:r>
              <w:t xml:space="preserve">Polarity Distribution</w:t>
            </w:r>
          </w:p>
        </w:tc>
        <w:tc>
          <w:tcPr/>
          <w:p>
            <w:pPr>
              <w:pStyle w:val="Compact"/>
              <w:jc w:val="left"/>
            </w:pPr>
            <w:r>
              <w:t xml:space="preserve">Balanced (Approx. Uniform)</w:t>
            </w:r>
          </w:p>
        </w:tc>
      </w:tr>
    </w:tbl>
    <w:bookmarkEnd w:id="18"/>
    <w:bookmarkEnd w:id="19"/>
    <w:bookmarkEnd w:id="20"/>
    <w:bookmarkStart w:id="30" w:name="sec:methodology"/>
    <w:p>
      <w:pPr>
        <w:pStyle w:val="Heading1"/>
      </w:pPr>
      <w:r>
        <w:t xml:space="preserve">Methodology</w:t>
      </w:r>
    </w:p>
    <w:p>
      <w:pPr>
        <w:pStyle w:val="FirstParagraph"/>
      </w:pPr>
      <w:r>
        <w:t xml:space="preserve">The proposed methodology is structured into four primary phases: data preprocessing, aspect taxonomy development, annotation strategy, and the implementation of a Transformer-based multi-label classification framework. The system leverages</w:t>
      </w:r>
      <w:r>
        <w:t xml:space="preserve"> </w:t>
      </w:r>
      <w:r>
        <w:rPr>
          <w:i/>
          <w:iCs/>
        </w:rPr>
        <w:t xml:space="preserve">BERTurk</w:t>
      </w:r>
      <w:r>
        <w:t xml:space="preserve"> </w:t>
      </w:r>
      <w:r>
        <w:t xml:space="preserve">(dbmdz/bert-base-turkish-cased), a state-of-the-art language model optimized for Turkish, to perform joint aspect–sentiment prediction on e-commerce reviews.</w:t>
      </w:r>
    </w:p>
    <w:bookmarkStart w:id="21" w:name="preprocessing-pipeline"/>
    <w:p>
      <w:pPr>
        <w:pStyle w:val="Heading2"/>
      </w:pPr>
      <w:r>
        <w:t xml:space="preserve">Preprocessing Pipeline</w:t>
      </w:r>
    </w:p>
    <w:p>
      <w:pPr>
        <w:pStyle w:val="FirstParagraph"/>
      </w:pPr>
      <w:r>
        <w:t xml:space="preserve">Given the informal nature of user-generated content, raw reviews undergo a rigorous preprocessing pipeline to reduce sparsity while preserving morpho-syntactic features essential for the</w:t>
      </w:r>
      <w:r>
        <w:t xml:space="preserve"> </w:t>
      </w:r>
      <w:r>
        <w:rPr>
          <w:i/>
          <w:iCs/>
        </w:rPr>
        <w:t xml:space="preserve">cased</w:t>
      </w:r>
      <w:r>
        <w:t xml:space="preserve"> </w:t>
      </w:r>
      <w:r>
        <w:t xml:space="preserve">BERT model. The steps include:</w:t>
      </w:r>
    </w:p>
    <w:p>
      <w:pPr>
        <w:numPr>
          <w:ilvl w:val="0"/>
          <w:numId w:val="1004"/>
        </w:numPr>
      </w:pPr>
      <w:r>
        <w:rPr>
          <w:b/>
          <w:bCs/>
        </w:rPr>
        <w:t xml:space="preserve">Noise Removal</w:t>
      </w:r>
      <w:r>
        <w:t xml:space="preserve">: Elimination of HTML tags, platform-specific artifacts (e.g., "View original review"), and non-textual symbols.</w:t>
      </w:r>
    </w:p>
    <w:p>
      <w:pPr>
        <w:numPr>
          <w:ilvl w:val="0"/>
          <w:numId w:val="1004"/>
        </w:numPr>
      </w:pPr>
      <w:r>
        <w:rPr>
          <w:b/>
          <w:bCs/>
        </w:rPr>
        <w:t xml:space="preserve">Turkish Character Normalization</w:t>
      </w:r>
      <w:r>
        <w:t xml:space="preserve">: Standardization of Turkish characters (e.g., normalizing varied encodings of ‘ğ‘, ‘ş‘, ‘İ‘) to ensure consistency with the pre-training corpus of BERTurk. Unlike traditional pipelines, we</w:t>
      </w:r>
      <w:r>
        <w:t xml:space="preserve"> </w:t>
      </w:r>
      <w:r>
        <w:rPr>
          <w:b/>
          <w:bCs/>
        </w:rPr>
        <w:t xml:space="preserve">retain case information</w:t>
      </w:r>
      <w:r>
        <w:t xml:space="preserve"> </w:t>
      </w:r>
      <w:r>
        <w:t xml:space="preserve">(avoiding lowercasing) to preserve the semantic signals provided by capitalization, which ‘bert-base-turkish-cased‘ relies upon for entity recognition.</w:t>
      </w:r>
    </w:p>
    <w:p>
      <w:pPr>
        <w:numPr>
          <w:ilvl w:val="0"/>
          <w:numId w:val="1004"/>
        </w:numPr>
      </w:pPr>
      <w:r>
        <w:rPr>
          <w:b/>
          <w:bCs/>
        </w:rPr>
        <w:t xml:space="preserve">Tokenization</w:t>
      </w:r>
      <w:r>
        <w:t xml:space="preserve">: Utilization of the BERTurk WordPiece tokenizer to segment words into subword units (e.g.,</w:t>
      </w:r>
      <w:r>
        <w:t xml:space="preserve"> </w:t>
      </w:r>
      <w:r>
        <w:t xml:space="preserve">“kargolanmadı”</w:t>
      </w:r>
      <w:r>
        <w:t xml:space="preserve"> </w:t>
      </w:r>
      <m:oMath>
        <m:r>
          <m:rPr>
            <m:sty m:val="p"/>
          </m:rPr>
          <m:t>→</m:t>
        </m:r>
      </m:oMath>
      <w:r>
        <w:t xml:space="preserve"> </w:t>
      </w:r>
      <w:r>
        <w:t xml:space="preserve">[</w:t>
      </w:r>
      <w:r>
        <w:t xml:space="preserve">“kargo”</w:t>
      </w:r>
      <w:r>
        <w:t xml:space="preserve">,</w:t>
      </w:r>
      <w:r>
        <w:t xml:space="preserve"> </w:t>
      </w:r>
      <w:r>
        <w:t xml:space="preserve">“#lan”</w:t>
      </w:r>
      <w:r>
        <w:t xml:space="preserve">,</w:t>
      </w:r>
      <w:r>
        <w:t xml:space="preserve"> </w:t>
      </w:r>
      <w:r>
        <w:t xml:space="preserve">“#madı”</w:t>
      </w:r>
      <w:r>
        <w:t xml:space="preserve">]). This addresses the out-of-vocabulary (OOV) problem inherent in Turkish agglutinative morphology.</w:t>
      </w:r>
    </w:p>
    <w:p>
      <w:pPr>
        <w:numPr>
          <w:ilvl w:val="0"/>
          <w:numId w:val="1004"/>
        </w:numPr>
      </w:pPr>
      <w:r>
        <w:rPr>
          <w:b/>
          <w:bCs/>
        </w:rPr>
        <w:t xml:space="preserve">Length Filtering</w:t>
      </w:r>
      <w:r>
        <w:t xml:space="preserve">: Exclusion of reviews with fewer than 3 tokens to prevent noise from uninformative samples.</w:t>
      </w:r>
    </w:p>
    <w:p>
      <w:pPr>
        <w:numPr>
          <w:ilvl w:val="0"/>
          <w:numId w:val="1004"/>
        </w:numPr>
      </w:pPr>
      <w:r>
        <w:rPr>
          <w:b/>
          <w:bCs/>
        </w:rPr>
        <w:t xml:space="preserve">Stratified Splitting</w:t>
      </w:r>
      <w:r>
        <w:t xml:space="preserve">: The dataset is partitioned into training (80%), validation (10%), and test (10%) sets using iterative stratification to maintain the distribution of multi-label combinations across splits.</w:t>
      </w:r>
    </w:p>
    <w:bookmarkEnd w:id="21"/>
    <w:bookmarkStart w:id="22" w:name="aspect-taxonomy"/>
    <w:p>
      <w:pPr>
        <w:pStyle w:val="Heading2"/>
      </w:pPr>
      <w:r>
        <w:t xml:space="preserve">Aspect Taxonomy</w:t>
      </w:r>
    </w:p>
    <w:p>
      <w:pPr>
        <w:pStyle w:val="FirstParagraph"/>
      </w:pPr>
      <w:r>
        <w:t xml:space="preserve">To capture fine-grained customer opinions, we developed a hierarchical aspect taxonomy inspired by the SemEval-2016 Task 5 guidelines</w:t>
      </w:r>
      <w:r>
        <w:t xml:space="preserve"> </w:t>
      </w:r>
      <w:r>
        <w:t xml:space="preserve">(</w:t>
      </w:r>
      <w:r>
        <w:t xml:space="preserve">Pontiki et al.</w:t>
      </w:r>
      <w:r>
        <w:t xml:space="preserve"> </w:t>
      </w:r>
      <w:r>
        <w:t xml:space="preserve">2016b)</w:t>
      </w:r>
      <w:r>
        <w:t xml:space="preserve">. The taxonomy categorizes opinions into approximately 50 distinct aspect classes, grouped into high-level dimensions:</w:t>
      </w:r>
    </w:p>
    <w:p>
      <w:pPr>
        <w:numPr>
          <w:ilvl w:val="0"/>
          <w:numId w:val="1005"/>
        </w:numPr>
      </w:pPr>
      <w:r>
        <w:rPr>
          <w:b/>
          <w:bCs/>
        </w:rPr>
        <w:t xml:space="preserve">Performance &amp; Usability</w:t>
      </w:r>
      <w:r>
        <w:t xml:space="preserve">:</w:t>
      </w:r>
      <w:r>
        <w:t xml:space="preserve"> </w:t>
      </w:r>
      <w:r>
        <w:rPr>
          <w:i/>
          <w:iCs/>
        </w:rPr>
        <w:t xml:space="preserve">Battery Life, Processor Speed, Suction Power, Ease of Use.</w:t>
      </w:r>
    </w:p>
    <w:p>
      <w:pPr>
        <w:numPr>
          <w:ilvl w:val="0"/>
          <w:numId w:val="1005"/>
        </w:numPr>
      </w:pPr>
      <w:r>
        <w:rPr>
          <w:b/>
          <w:bCs/>
        </w:rPr>
        <w:t xml:space="preserve">Aesthetics &amp; Design</w:t>
      </w:r>
      <w:r>
        <w:t xml:space="preserve">:</w:t>
      </w:r>
      <w:r>
        <w:t xml:space="preserve"> </w:t>
      </w:r>
      <w:r>
        <w:rPr>
          <w:i/>
          <w:iCs/>
        </w:rPr>
        <w:t xml:space="preserve">Color, Material Quality, Ergonomics, Size/Dimensions.</w:t>
      </w:r>
    </w:p>
    <w:p>
      <w:pPr>
        <w:numPr>
          <w:ilvl w:val="0"/>
          <w:numId w:val="1005"/>
        </w:numPr>
      </w:pPr>
      <w:r>
        <w:rPr>
          <w:b/>
          <w:bCs/>
        </w:rPr>
        <w:t xml:space="preserve">Financial</w:t>
      </w:r>
      <w:r>
        <w:t xml:space="preserve">:</w:t>
      </w:r>
      <w:r>
        <w:t xml:space="preserve"> </w:t>
      </w:r>
      <w:r>
        <w:rPr>
          <w:i/>
          <w:iCs/>
        </w:rPr>
        <w:t xml:space="preserve">Price, Value for Money, Discount/Campaigns.</w:t>
      </w:r>
    </w:p>
    <w:p>
      <w:pPr>
        <w:numPr>
          <w:ilvl w:val="0"/>
          <w:numId w:val="1005"/>
        </w:numPr>
      </w:pPr>
      <w:r>
        <w:rPr>
          <w:b/>
          <w:bCs/>
        </w:rPr>
        <w:t xml:space="preserve">Service &amp; Fulfillment</w:t>
      </w:r>
      <w:r>
        <w:t xml:space="preserve">:</w:t>
      </w:r>
      <w:r>
        <w:t xml:space="preserve"> </w:t>
      </w:r>
      <w:r>
        <w:rPr>
          <w:i/>
          <w:iCs/>
        </w:rPr>
        <w:t xml:space="preserve">Shipping Speed, Packaging Quality, Seller Communication, Return Process.</w:t>
      </w:r>
    </w:p>
    <w:p>
      <w:pPr>
        <w:numPr>
          <w:ilvl w:val="0"/>
          <w:numId w:val="1005"/>
        </w:numPr>
      </w:pPr>
      <w:r>
        <w:rPr>
          <w:b/>
          <w:bCs/>
        </w:rPr>
        <w:t xml:space="preserve">Domain-Specific</w:t>
      </w:r>
      <w:r>
        <w:t xml:space="preserve">:</w:t>
      </w:r>
      <w:r>
        <w:t xml:space="preserve"> </w:t>
      </w:r>
      <w:r>
        <w:rPr>
          <w:i/>
          <w:iCs/>
        </w:rPr>
        <w:t xml:space="preserve">Taste</w:t>
      </w:r>
      <w:r>
        <w:t xml:space="preserve"> </w:t>
      </w:r>
      <w:r>
        <w:t xml:space="preserve">(Food),</w:t>
      </w:r>
      <w:r>
        <w:t xml:space="preserve"> </w:t>
      </w:r>
      <w:r>
        <w:rPr>
          <w:i/>
          <w:iCs/>
        </w:rPr>
        <w:t xml:space="preserve">Smell</w:t>
      </w:r>
      <w:r>
        <w:t xml:space="preserve"> </w:t>
      </w:r>
      <w:r>
        <w:t xml:space="preserve">(Cosmetics),</w:t>
      </w:r>
      <w:r>
        <w:t xml:space="preserve"> </w:t>
      </w:r>
      <w:r>
        <w:rPr>
          <w:i/>
          <w:iCs/>
        </w:rPr>
        <w:t xml:space="preserve">Texture</w:t>
      </w:r>
      <w:r>
        <w:t xml:space="preserve"> </w:t>
      </w:r>
      <w:r>
        <w:t xml:space="preserve">(Textile).</w:t>
      </w:r>
    </w:p>
    <w:p>
      <w:pPr>
        <w:pStyle w:val="FirstParagraph"/>
      </w:pPr>
      <w:r>
        <w:t xml:space="preserve">This taxonomy supports a multi-label classification approach, acknowledging that a single review (e.g.,</w:t>
      </w:r>
      <w:r>
        <w:t xml:space="preserve"> </w:t>
      </w:r>
      <w:r>
        <w:t xml:space="preserve">“Cheap but slow shipping”</w:t>
      </w:r>
      <w:r>
        <w:t xml:space="preserve">) often targets multiple divergent aspects.</w:t>
      </w:r>
    </w:p>
    <w:bookmarkEnd w:id="22"/>
    <w:bookmarkStart w:id="23" w:name="annotation-strategy"/>
    <w:p>
      <w:pPr>
        <w:pStyle w:val="Heading2"/>
      </w:pPr>
      <w:r>
        <w:t xml:space="preserve">Annotation Strategy</w:t>
      </w:r>
    </w:p>
    <w:p>
      <w:pPr>
        <w:pStyle w:val="FirstParagraph"/>
      </w:pPr>
      <w:r>
        <w:t xml:space="preserve">To establish a ground-truth dataset, a manual annotation process is designed involving three independent human annotators. The annotation protocol adheres to the following rigorous standards:</w:t>
      </w:r>
    </w:p>
    <w:p>
      <w:pPr>
        <w:numPr>
          <w:ilvl w:val="0"/>
          <w:numId w:val="1006"/>
        </w:numPr>
      </w:pPr>
      <w:r>
        <w:rPr>
          <w:b/>
          <w:bCs/>
        </w:rPr>
        <w:t xml:space="preserve">Labeling Scheme</w:t>
      </w:r>
      <w:r>
        <w:t xml:space="preserve">: For each review, annotators identify present aspects and assign a sentiment polarity (Positive, Negative, Neutral).</w:t>
      </w:r>
    </w:p>
    <w:p>
      <w:pPr>
        <w:numPr>
          <w:ilvl w:val="0"/>
          <w:numId w:val="1006"/>
        </w:numPr>
      </w:pPr>
      <w:r>
        <w:rPr>
          <w:b/>
          <w:bCs/>
        </w:rPr>
        <w:t xml:space="preserve">Multi-Aspect Handling</w:t>
      </w:r>
      <w:r>
        <w:t xml:space="preserve">: Annotators are instructed to tag all distinct aspects mentioned. For example, a review mentioning both</w:t>
      </w:r>
      <w:r>
        <w:t xml:space="preserve"> </w:t>
      </w:r>
      <w:r>
        <w:t xml:space="preserve">“screen”</w:t>
      </w:r>
      <w:r>
        <w:t xml:space="preserve"> </w:t>
      </w:r>
      <w:r>
        <w:t xml:space="preserve">and</w:t>
      </w:r>
      <w:r>
        <w:t xml:space="preserve"> </w:t>
      </w:r>
      <w:r>
        <w:t xml:space="preserve">“battery”</w:t>
      </w:r>
      <w:r>
        <w:t xml:space="preserve"> </w:t>
      </w:r>
      <w:r>
        <w:t xml:space="preserve">receives labels for both categories.</w:t>
      </w:r>
    </w:p>
    <w:p>
      <w:pPr>
        <w:numPr>
          <w:ilvl w:val="0"/>
          <w:numId w:val="1006"/>
        </w:numPr>
      </w:pPr>
      <w:r>
        <w:rPr>
          <w:b/>
          <w:bCs/>
        </w:rPr>
        <w:t xml:space="preserve">Quality Assurance</w:t>
      </w:r>
      <w:r>
        <w:t xml:space="preserve">: To mitigate subjectivity, inter-annotator agreement is calculated using</w:t>
      </w:r>
      <w:r>
        <w:t xml:space="preserve"> </w:t>
      </w:r>
      <w:r>
        <w:rPr>
          <w:b/>
          <w:bCs/>
        </w:rPr>
        <w:t xml:space="preserve">Fleiss’ Kappa</w:t>
      </w:r>
      <w:r>
        <w:t xml:space="preserve"> </w:t>
      </w:r>
      <w:r>
        <w:t xml:space="preserve">(</w:t>
      </w:r>
      <m:oMath>
        <m:r>
          <m:t>κ</m:t>
        </m:r>
      </m:oMath>
      <w:r>
        <w:t xml:space="preserve">), which is statistically appropriate for assessing agreement among three or more raters</w:t>
      </w:r>
      <w:r>
        <w:t xml:space="preserve"> </w:t>
      </w:r>
      <w:r>
        <w:t xml:space="preserve">(Fleiss 1971)</w:t>
      </w:r>
      <w:r>
        <w:t xml:space="preserve">.</w:t>
      </w:r>
    </w:p>
    <w:p>
      <w:pPr>
        <w:numPr>
          <w:ilvl w:val="0"/>
          <w:numId w:val="1006"/>
        </w:numPr>
      </w:pPr>
      <w:r>
        <w:rPr>
          <w:b/>
          <w:bCs/>
        </w:rPr>
        <w:t xml:space="preserve">Adjudication</w:t>
      </w:r>
      <w:r>
        <w:t xml:space="preserve">: Cases with significant disagreement (e.g., opposite polarities) are resolved through a majority vote or review by a senior adjudicator.</w:t>
      </w:r>
    </w:p>
    <w:bookmarkEnd w:id="23"/>
    <w:bookmarkStart w:id="28" w:name="model-architecture"/>
    <w:p>
      <w:pPr>
        <w:pStyle w:val="Heading2"/>
      </w:pPr>
      <w:r>
        <w:t xml:space="preserve">Model Architecture</w:t>
      </w:r>
    </w:p>
    <w:p>
      <w:pPr>
        <w:pStyle w:val="FirstParagraph"/>
      </w:pPr>
      <w:r>
        <w:t xml:space="preserve">The core of the ABSA system is a multi-label sequence classifier built upon the</w:t>
      </w:r>
      <w:r>
        <w:t xml:space="preserve"> </w:t>
      </w:r>
      <w:r>
        <w:rPr>
          <w:i/>
          <w:iCs/>
        </w:rPr>
        <w:t xml:space="preserve">BERTurk</w:t>
      </w:r>
      <w:r>
        <w:t xml:space="preserve"> </w:t>
      </w:r>
      <w:r>
        <w:t xml:space="preserve">encoder</w:t>
      </w:r>
      <w:r>
        <w:t xml:space="preserve"> </w:t>
      </w:r>
      <w:r>
        <w:t xml:space="preserve">(Schweter 2020)</w:t>
      </w:r>
      <w:r>
        <w:t xml:space="preserve">. The architecture is defined as follows:</w:t>
      </w:r>
    </w:p>
    <w:p>
      <w:pPr>
        <w:numPr>
          <w:ilvl w:val="0"/>
          <w:numId w:val="1007"/>
        </w:numPr>
      </w:pPr>
      <w:r>
        <w:rPr>
          <w:b/>
          <w:bCs/>
        </w:rPr>
        <w:t xml:space="preserve">Encoder Layer</w:t>
      </w:r>
      <w:r>
        <w:t xml:space="preserve">: The input sequence</w:t>
      </w:r>
      <w:r>
        <w:t xml:space="preserve"> </w:t>
      </w:r>
      <m:oMath>
        <m: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r>
          <m:rPr>
            <m:sty m:val="p"/>
          </m:rPr>
          <m:t>.</m:t>
        </m:r>
        <m:r>
          <m:rPr>
            <m:sty m:val="p"/>
          </m:rPr>
          <m:t>,</m:t>
        </m:r>
        <m:sSub>
          <m:e>
            <m:r>
              <m:t>x</m:t>
            </m:r>
          </m:e>
          <m:sub>
            <m:r>
              <m:t>n</m:t>
            </m:r>
          </m:sub>
        </m:sSub>
        <m:r>
          <m:rPr>
            <m:sty m:val="p"/>
          </m:rPr>
          <m:t>}</m:t>
        </m:r>
      </m:oMath>
      <w:r>
        <w:t xml:space="preserve"> </w:t>
      </w:r>
      <w:r>
        <w:t xml:space="preserve">is fed into the pre-trained BERT encoder, producing contextualized embeddings</w:t>
      </w:r>
      <w:r>
        <w:t xml:space="preserve"> </w:t>
      </w:r>
      <m:oMath>
        <m:r>
          <m:t>H</m:t>
        </m:r>
        <m:r>
          <m:rPr>
            <m:sty m:val="p"/>
          </m:rPr>
          <m:t>∈</m:t>
        </m:r>
        <m:sSup>
          <m:e>
            <m:r>
              <m:rPr>
                <m:scr m:val="double-struck"/>
                <m:sty m:val="p"/>
              </m:rPr>
              <m:t>R</m:t>
            </m:r>
          </m:e>
          <m:sup>
            <m:r>
              <m:t>n</m:t>
            </m:r>
            <m:r>
              <m:rPr>
                <m:sty m:val="p"/>
              </m:rPr>
              <m:t>×</m:t>
            </m:r>
            <m:r>
              <m:t>d</m:t>
            </m:r>
          </m:sup>
        </m:sSup>
      </m:oMath>
      <w:r>
        <w:t xml:space="preserve">, where</w:t>
      </w:r>
      <w:r>
        <w:t xml:space="preserve"> </w:t>
      </w:r>
      <m:oMath>
        <m:r>
          <m:t>d</m:t>
        </m:r>
        <m:r>
          <m:rPr>
            <m:sty m:val="p"/>
          </m:rPr>
          <m:t>=</m:t>
        </m:r>
        <m:r>
          <m:t>768</m:t>
        </m:r>
      </m:oMath>
      <w:r>
        <w:t xml:space="preserve">.</w:t>
      </w:r>
    </w:p>
    <w:p>
      <w:pPr>
        <w:numPr>
          <w:ilvl w:val="0"/>
          <w:numId w:val="1007"/>
        </w:numPr>
      </w:pPr>
      <w:r>
        <w:rPr>
          <w:b/>
          <w:bCs/>
        </w:rPr>
        <w:t xml:space="preserve">Pooling</w:t>
      </w:r>
      <w:r>
        <w:t xml:space="preserve">: The final hidden state of the special classification token “ is extracted (</w:t>
      </w:r>
      <m:oMath>
        <m:sSub>
          <m:e>
            <m:r>
              <m:t>h</m:t>
            </m:r>
          </m:e>
          <m:sub>
            <m:r>
              <m:t>​</m:t>
            </m:r>
          </m:sub>
        </m:sSub>
      </m:oMath>
      <w:r>
        <w:t xml:space="preserve">) to serve as the aggregate representation of the review.</w:t>
      </w:r>
    </w:p>
    <w:p>
      <w:pPr>
        <w:numPr>
          <w:ilvl w:val="0"/>
          <w:numId w:val="1007"/>
        </w:numPr>
      </w:pPr>
      <w:r>
        <w:rPr>
          <w:b/>
          <w:bCs/>
        </w:rPr>
        <w:t xml:space="preserve">Classification Head</w:t>
      </w:r>
      <w:r>
        <w:t xml:space="preserve">: A fully connected dense layer projects</w:t>
      </w:r>
      <w:r>
        <w:t xml:space="preserve"> </w:t>
      </w:r>
      <m:oMath>
        <m:sSub>
          <m:e>
            <m:r>
              <m:t>h</m:t>
            </m:r>
          </m:e>
          <m:sub>
            <m:r>
              <m:t>​</m:t>
            </m:r>
          </m:sub>
        </m:sSub>
      </m:oMath>
      <w:r>
        <w:t xml:space="preserve"> </w:t>
      </w:r>
      <w:r>
        <w:t xml:space="preserve">to the output dimension</w:t>
      </w:r>
      <w:r>
        <w:t xml:space="preserve"> </w:t>
      </w:r>
      <m:oMath>
        <m:r>
          <m:t>N</m:t>
        </m:r>
      </m:oMath>
      <w:r>
        <w:t xml:space="preserve">, where</w:t>
      </w:r>
      <w:r>
        <w:t xml:space="preserve"> </w:t>
      </w:r>
      <m:oMath>
        <m:r>
          <m:t>N</m:t>
        </m:r>
      </m:oMath>
      <w:r>
        <w:t xml:space="preserve"> </w:t>
      </w:r>
      <w:r>
        <w:t xml:space="preserve">represents the total number of Aspect-Sentiment pairs (e.g.,</w:t>
      </w:r>
      <w:r>
        <w:t xml:space="preserve"> </w:t>
      </w:r>
      <m:oMath>
        <m:r>
          <m:t>A</m:t>
        </m:r>
        <m:r>
          <m:t>s</m:t>
        </m:r>
        <m:r>
          <m:t>p</m:t>
        </m:r>
        <m:r>
          <m:t>e</m:t>
        </m:r>
        <m:r>
          <m:t>c</m:t>
        </m:r>
        <m:sSub>
          <m:e>
            <m:r>
              <m:t>t</m:t>
            </m:r>
          </m:e>
          <m:sub>
            <m:r>
              <m:t>P</m:t>
            </m:r>
            <m:r>
              <m:t>r</m:t>
            </m:r>
            <m:r>
              <m:t>i</m:t>
            </m:r>
            <m:r>
              <m:t>c</m:t>
            </m:r>
            <m:r>
              <m:t>e</m:t>
            </m:r>
          </m:sub>
        </m:sSub>
        <m:r>
          <m:rPr>
            <m:nor/>
            <m:sty m:val="p"/>
          </m:rPr>
          <m:t>-</m:t>
        </m:r>
        <m:r>
          <m:t>P</m:t>
        </m:r>
        <m:r>
          <m:t>o</m:t>
        </m:r>
        <m:r>
          <m:t>s</m:t>
        </m:r>
        <m:r>
          <m:t>i</m:t>
        </m:r>
        <m:r>
          <m:t>t</m:t>
        </m:r>
        <m:r>
          <m:t>i</m:t>
        </m:r>
        <m:r>
          <m:t>v</m:t>
        </m:r>
        <m:r>
          <m:t>e</m:t>
        </m:r>
      </m:oMath>
      <w:r>
        <w:t xml:space="preserve">,</w:t>
      </w:r>
      <w:r>
        <w:t xml:space="preserve"> </w:t>
      </w:r>
      <m:oMath>
        <m:r>
          <m:t>A</m:t>
        </m:r>
        <m:r>
          <m:t>s</m:t>
        </m:r>
        <m:r>
          <m:t>p</m:t>
        </m:r>
        <m:r>
          <m:t>e</m:t>
        </m:r>
        <m:r>
          <m:t>c</m:t>
        </m:r>
        <m:sSub>
          <m:e>
            <m:r>
              <m:t>t</m:t>
            </m:r>
          </m:e>
          <m:sub>
            <m:r>
              <m:t>P</m:t>
            </m:r>
            <m:r>
              <m:t>r</m:t>
            </m:r>
            <m:r>
              <m:t>i</m:t>
            </m:r>
            <m:r>
              <m:t>c</m:t>
            </m:r>
            <m:r>
              <m:t>e</m:t>
            </m:r>
          </m:sub>
        </m:sSub>
        <m:r>
          <m:rPr>
            <m:nor/>
            <m:sty m:val="p"/>
          </m:rPr>
          <m:t>-</m:t>
        </m:r>
        <m:r>
          <m:t>N</m:t>
        </m:r>
        <m:r>
          <m:t>e</m:t>
        </m:r>
        <m:r>
          <m:t>g</m:t>
        </m:r>
        <m:r>
          <m:t>a</m:t>
        </m:r>
        <m:r>
          <m:t>t</m:t>
        </m:r>
        <m:r>
          <m:t>i</m:t>
        </m:r>
        <m:r>
          <m:t>v</m:t>
        </m:r>
        <m:r>
          <m:t>e</m:t>
        </m:r>
      </m:oMath>
      <w:r>
        <w:t xml:space="preserve">).</w:t>
      </w:r>
    </w:p>
    <w:p>
      <w:pPr>
        <w:numPr>
          <w:ilvl w:val="0"/>
          <w:numId w:val="1007"/>
        </w:numPr>
      </w:pPr>
      <w:r>
        <w:rPr>
          <w:b/>
          <w:bCs/>
        </w:rPr>
        <w:t xml:space="preserve">Activation</w:t>
      </w:r>
      <w:r>
        <w:t xml:space="preserve">: A Sigmoid activation function (</w:t>
      </w:r>
      <m:oMath>
        <m:r>
          <m:t>σ</m:t>
        </m:r>
      </m:oMath>
      <w:r>
        <w:t xml:space="preserve">) is applied to each output node independently, allowing the model to predict multiple non-mutually exclusive labels for a single review.</w:t>
      </w:r>
    </w:p>
    <w:bookmarkStart w:id="27" w:name="fig:architecture"/>
    <w:tbl>
      <w:tblPr>
        <w:tblStyle w:val="FigureTable"/>
        <w:tblW w:type="auto" w:w="0"/>
        <w:jc w:val="center"/>
        <w:tblLook w:firstRow="0" w:lastRow="0" w:firstColumn="0" w:lastColumn="0"/>
      </w:tblPr>
      <w:tblGrid>
        <w:gridCol w:w="3960"/>
        <w:gridCol w:w="3960"/>
      </w:tblGrid>
      <w:tr>
        <w:tc>
          <w:tcPr/>
          <w:p/>
        </w:tc>
        <w:tc>
          <w:tcPr/>
          <w:p>
            <w:pPr>
              <w:pStyle w:val="Compact"/>
              <w:jc w:val="center"/>
            </w:pPr>
            <w:r>
              <w:drawing>
                <wp:inline>
                  <wp:extent cx="1280160" cy="8385386"/>
                  <wp:effectExtent b="0" l="0" r="0" t="0"/>
                  <wp:docPr descr="" title="" id="25" name="Picture"/>
                  <a:graphic>
                    <a:graphicData uri="http://schemas.openxmlformats.org/drawingml/2006/picture">
                      <pic:pic>
                        <pic:nvPicPr>
                          <pic:cNvPr descr="arch.png" id="26" name="Picture"/>
                          <pic:cNvPicPr>
                            <a:picLocks noChangeArrowheads="1" noChangeAspect="1"/>
                          </pic:cNvPicPr>
                        </pic:nvPicPr>
                        <pic:blipFill>
                          <a:blip r:embed="rId24"/>
                          <a:stretch>
                            <a:fillRect/>
                          </a:stretch>
                        </pic:blipFill>
                        <pic:spPr bwMode="auto">
                          <a:xfrm>
                            <a:off x="0" y="0"/>
                            <a:ext cx="1280160" cy="8385386"/>
                          </a:xfrm>
                          <a:prstGeom prst="rect">
                            <a:avLst/>
                          </a:prstGeom>
                          <a:noFill/>
                          <a:ln w="9525">
                            <a:noFill/>
                            <a:headEnd/>
                            <a:tailEnd/>
                          </a:ln>
                        </pic:spPr>
                      </pic:pic>
                    </a:graphicData>
                  </a:graphic>
                </wp:inline>
              </w:drawing>
            </w:r>
          </w:p>
        </w:tc>
      </w:tr>
    </w:tbl>
    <w:p>
      <w:pPr>
        <w:pStyle w:val="ImageCaption"/>
      </w:pPr>
      <w:r>
        <w:t xml:space="preserve">Proposed BERTurk-based multi-label ABSA architecture with joint aspect-sentiment detection.</w:t>
      </w:r>
    </w:p>
    <w:bookmarkEnd w:id="27"/>
    <w:bookmarkEnd w:id="28"/>
    <w:bookmarkStart w:id="29" w:name="training-setup"/>
    <w:p>
      <w:pPr>
        <w:pStyle w:val="Heading2"/>
      </w:pPr>
      <w:r>
        <w:t xml:space="preserve">Training Setup</w:t>
      </w:r>
    </w:p>
    <w:p>
      <w:pPr>
        <w:pStyle w:val="FirstParagraph"/>
      </w:pPr>
      <w:r>
        <w:t xml:space="preserve">The model is fine-tuned using the following hyperparameters, selected based on standard practices for Transformer models</w:t>
      </w:r>
      <w:r>
        <w:t xml:space="preserve"> </w:t>
      </w:r>
      <w:r>
        <w:t xml:space="preserve">(Sun et al. 2019)</w:t>
      </w:r>
      <w:r>
        <w:t xml:space="preserve">:</w:t>
      </w:r>
    </w:p>
    <w:p>
      <w:pPr>
        <w:numPr>
          <w:ilvl w:val="0"/>
          <w:numId w:val="1008"/>
        </w:numPr>
      </w:pPr>
      <w:r>
        <w:rPr>
          <w:b/>
          <w:bCs/>
        </w:rPr>
        <w:t xml:space="preserve">Optimizer</w:t>
      </w:r>
      <w:r>
        <w:t xml:space="preserve">: AdamW</w:t>
      </w:r>
      <w:r>
        <w:t xml:space="preserve"> </w:t>
      </w:r>
      <w:r>
        <w:t xml:space="preserve">(Loshchilov and Hutter 2019)</w:t>
      </w:r>
      <w:r>
        <w:t xml:space="preserve"> </w:t>
      </w:r>
      <w:r>
        <w:t xml:space="preserve">with a weight decay of</w:t>
      </w:r>
      <w:r>
        <w:t xml:space="preserve"> </w:t>
      </w:r>
      <m:oMath>
        <m:r>
          <m:t>0.01</m:t>
        </m:r>
      </m:oMath>
      <w:r>
        <w:t xml:space="preserve"> </w:t>
      </w:r>
      <w:r>
        <w:t xml:space="preserve">to prevent overfitting.</w:t>
      </w:r>
    </w:p>
    <w:p>
      <w:pPr>
        <w:numPr>
          <w:ilvl w:val="0"/>
          <w:numId w:val="1008"/>
        </w:numPr>
      </w:pPr>
      <w:r>
        <w:rPr>
          <w:b/>
          <w:bCs/>
        </w:rPr>
        <w:t xml:space="preserve">Learning Rate</w:t>
      </w:r>
      <w:r>
        <w:t xml:space="preserve">:</w:t>
      </w:r>
      <w:r>
        <w:t xml:space="preserve"> </w:t>
      </w:r>
      <m:oMath>
        <m:r>
          <m:t>2</m:t>
        </m:r>
        <m:r>
          <m:rPr>
            <m:sty m:val="p"/>
          </m:rPr>
          <m:t>×</m:t>
        </m:r>
        <m:sSup>
          <m:e>
            <m:r>
              <m:t>10</m:t>
            </m:r>
          </m:e>
          <m:sup>
            <m:r>
              <m:rPr>
                <m:sty m:val="p"/>
              </m:rPr>
              <m:t>−</m:t>
            </m:r>
            <m:r>
              <m:t>5</m:t>
            </m:r>
          </m:sup>
        </m:sSup>
      </m:oMath>
      <w:r>
        <w:t xml:space="preserve"> </w:t>
      </w:r>
      <w:r>
        <w:t xml:space="preserve">with a linear warmup for the first 10% of steps, followed by linear decay.</w:t>
      </w:r>
    </w:p>
    <w:p>
      <w:pPr>
        <w:numPr>
          <w:ilvl w:val="0"/>
          <w:numId w:val="1008"/>
        </w:numPr>
      </w:pPr>
      <w:r>
        <w:rPr>
          <w:b/>
          <w:bCs/>
        </w:rPr>
        <w:t xml:space="preserve">Batch Size</w:t>
      </w:r>
      <w:r>
        <w:t xml:space="preserve">: 16 or 32, constrained by GPU memory availability.</w:t>
      </w:r>
    </w:p>
    <w:p>
      <w:pPr>
        <w:numPr>
          <w:ilvl w:val="0"/>
          <w:numId w:val="1008"/>
        </w:numPr>
      </w:pPr>
      <w:r>
        <w:rPr>
          <w:b/>
          <w:bCs/>
        </w:rPr>
        <w:t xml:space="preserve">Loss Function</w:t>
      </w:r>
      <w:r>
        <w:t xml:space="preserve">: Weighted Binary Cross-Entropy (BCE) loss. Weights are assigned inversely proportional to class frequency to penalize the model more heavily for misclassifying rare aspects, effectively handling class imbalance.</w:t>
      </w:r>
    </w:p>
    <w:p>
      <w:pPr>
        <w:numPr>
          <w:ilvl w:val="0"/>
          <w:numId w:val="1008"/>
        </w:numPr>
      </w:pPr>
      <w:r>
        <w:rPr>
          <w:b/>
          <w:bCs/>
        </w:rPr>
        <w:t xml:space="preserve">Evaluation</w:t>
      </w:r>
      <w:r>
        <w:t xml:space="preserve">: Performance is monitored using</w:t>
      </w:r>
      <w:r>
        <w:t xml:space="preserve"> </w:t>
      </w:r>
      <w:r>
        <w:rPr>
          <w:b/>
          <w:bCs/>
        </w:rPr>
        <w:t xml:space="preserve">Macro-F1</w:t>
      </w:r>
      <w:r>
        <w:t xml:space="preserve"> </w:t>
      </w:r>
      <w:r>
        <w:t xml:space="preserve">score to treat all aspect classes equally, alongside Hamming Loss to measure the fraction of incorrect labels.</w:t>
      </w:r>
    </w:p>
    <w:p>
      <w:pPr>
        <w:pStyle w:val="FirstParagraph"/>
      </w:pPr>
      <w:r>
        <w:t xml:space="preserve">Baseline comparisons will be conducted against Logistic Regression (TF-IDF) and Bi-LSTM models to quantify the performance gain yielded by the Transformer architecture.</w:t>
      </w:r>
    </w:p>
    <w:bookmarkEnd w:id="29"/>
    <w:bookmarkEnd w:id="30"/>
    <w:bookmarkStart w:id="33" w:name="sec:guidelines"/>
    <w:p>
      <w:pPr>
        <w:pStyle w:val="Heading1"/>
      </w:pPr>
      <w:r>
        <w:t xml:space="preserve">Guidelines for Graphics Preparation and Submission</w:t>
      </w:r>
    </w:p>
    <w:bookmarkStart w:id="31" w:name="types-of-graphics"/>
    <w:p>
      <w:pPr>
        <w:pStyle w:val="Heading2"/>
      </w:pPr>
      <w:r>
        <w:t xml:space="preserve">Types of Graphics</w:t>
      </w:r>
    </w:p>
    <w:p>
      <w:pPr>
        <w:pStyle w:val="FirstParagraph"/>
      </w:pPr>
      <w:r>
        <w:t xml:space="preserve">tbd</w:t>
      </w:r>
    </w:p>
    <w:bookmarkEnd w:id="31"/>
    <w:bookmarkStart w:id="32" w:name="multipart-figures"/>
    <w:p>
      <w:pPr>
        <w:pStyle w:val="Heading2"/>
      </w:pPr>
      <w:r>
        <w:t xml:space="preserve">Multipart figures</w:t>
      </w:r>
    </w:p>
    <w:p>
      <w:pPr>
        <w:pStyle w:val="FirstParagraph"/>
      </w:pPr>
      <w:r>
        <w:t xml:space="preserve">tbd</w:t>
      </w:r>
    </w:p>
    <w:bookmarkEnd w:id="32"/>
    <w:bookmarkEnd w:id="33"/>
    <w:bookmarkStart w:id="34" w:name="conclusion"/>
    <w:p>
      <w:pPr>
        <w:pStyle w:val="Heading1"/>
      </w:pPr>
      <w:r>
        <w:t xml:space="preserve">Conclusion</w:t>
      </w:r>
    </w:p>
    <w:p>
      <w:pPr>
        <w:pStyle w:val="FirstParagraph"/>
      </w:pPr>
      <w:r>
        <w:t xml:space="preserve">tbd</w:t>
      </w:r>
    </w:p>
    <w:bookmarkEnd w:id="34"/>
    <w:bookmarkStart w:id="35" w:name="footnotes"/>
    <w:p>
      <w:pPr>
        <w:pStyle w:val="Heading1"/>
      </w:pPr>
      <w:r>
        <w:t xml:space="preserve">Footnotes</w:t>
      </w:r>
    </w:p>
    <w:p>
      <w:pPr>
        <w:pStyle w:val="FirstParagraph"/>
      </w:pPr>
      <w:r>
        <w:t xml:space="preserve">tbd</w:t>
      </w:r>
    </w:p>
    <w:bookmarkEnd w:id="35"/>
    <w:bookmarkStart w:id="40" w:name="submitting-your-paper-for-review"/>
    <w:p>
      <w:pPr>
        <w:pStyle w:val="Heading1"/>
      </w:pPr>
      <w:r>
        <w:t xml:space="preserve">Submitting Your Paper for Review</w:t>
      </w:r>
    </w:p>
    <w:bookmarkStart w:id="36" w:name="final-stage"/>
    <w:p>
      <w:pPr>
        <w:pStyle w:val="Heading2"/>
      </w:pPr>
      <w:r>
        <w:t xml:space="preserve">Final Stage</w:t>
      </w:r>
    </w:p>
    <w:p>
      <w:pPr>
        <w:pStyle w:val="FirstParagraph"/>
      </w:pPr>
      <w:r>
        <w:t xml:space="preserve">tbd</w:t>
      </w:r>
    </w:p>
    <w:bookmarkEnd w:id="36"/>
    <w:bookmarkStart w:id="37" w:name="review-stage-using-ieee-author-portal"/>
    <w:p>
      <w:pPr>
        <w:pStyle w:val="Heading2"/>
      </w:pPr>
      <w:r>
        <w:t xml:space="preserve">Review Stage Using IEEE Author Portal</w:t>
      </w:r>
    </w:p>
    <w:p>
      <w:pPr>
        <w:pStyle w:val="FirstParagraph"/>
      </w:pPr>
      <w:r>
        <w:t xml:space="preserve">tbd</w:t>
      </w:r>
    </w:p>
    <w:bookmarkEnd w:id="37"/>
    <w:bookmarkStart w:id="38" w:name="final-stage-using-ieee-author-portal"/>
    <w:p>
      <w:pPr>
        <w:pStyle w:val="Heading2"/>
      </w:pPr>
      <w:r>
        <w:t xml:space="preserve">Final Stage Using IEEE Author Portal</w:t>
      </w:r>
    </w:p>
    <w:p>
      <w:pPr>
        <w:pStyle w:val="FirstParagraph"/>
      </w:pPr>
      <w:r>
        <w:t xml:space="preserve">tbd</w:t>
      </w:r>
    </w:p>
    <w:bookmarkEnd w:id="38"/>
    <w:bookmarkStart w:id="39" w:name="copyright-form"/>
    <w:p>
      <w:pPr>
        <w:pStyle w:val="Heading2"/>
      </w:pPr>
      <w:r>
        <w:t xml:space="preserve">Copyright Form</w:t>
      </w:r>
    </w:p>
    <w:p>
      <w:pPr>
        <w:pStyle w:val="FirstParagraph"/>
      </w:pPr>
      <w:r>
        <w:t xml:space="preserve">tbd</w:t>
      </w:r>
    </w:p>
    <w:bookmarkEnd w:id="39"/>
    <w:bookmarkEnd w:id="40"/>
    <w:bookmarkStart w:id="41" w:name="ieee-publishing-policy"/>
    <w:p>
      <w:pPr>
        <w:pStyle w:val="Heading1"/>
      </w:pPr>
      <w:r>
        <w:t xml:space="preserve">IEEE Publishing Policy</w:t>
      </w:r>
    </w:p>
    <w:p>
      <w:pPr>
        <w:pStyle w:val="FirstParagraph"/>
      </w:pPr>
      <w:r>
        <w:t xml:space="preserve">tbd</w:t>
      </w:r>
    </w:p>
    <w:bookmarkEnd w:id="41"/>
    <w:bookmarkStart w:id="42" w:name="publication-principles"/>
    <w:p>
      <w:pPr>
        <w:pStyle w:val="Heading1"/>
      </w:pPr>
      <w:r>
        <w:t xml:space="preserve">Publication Principles</w:t>
      </w:r>
    </w:p>
    <w:p>
      <w:pPr>
        <w:pStyle w:val="FirstParagraph"/>
      </w:pPr>
      <w:r>
        <w:t xml:space="preserve">Authors should consider the following points:</w:t>
      </w:r>
    </w:p>
    <w:bookmarkEnd w:id="42"/>
    <w:bookmarkStart w:id="43" w:name="reference-examples"/>
    <w:p>
      <w:pPr>
        <w:pStyle w:val="Heading1"/>
      </w:pPr>
      <w:r>
        <w:t xml:space="preserve">Reference Examples</w:t>
      </w:r>
    </w:p>
    <w:bookmarkEnd w:id="43"/>
    <w:bookmarkStart w:id="61" w:name="acknowledgment"/>
    <w:p>
      <w:pPr>
        <w:pStyle w:val="Heading1"/>
      </w:pPr>
      <w:r>
        <w:t xml:space="preserve">Acknowledgment</w:t>
      </w:r>
    </w:p>
    <w:p>
      <w:pPr>
        <w:pStyle w:val="FirstParagraph"/>
      </w:pPr>
      <w:r>
        <w:t xml:space="preserve">tbd</w:t>
      </w:r>
    </w:p>
    <w:bookmarkStart w:id="60" w:name="refs"/>
    <w:bookmarkStart w:id="44" w:name="ref-aydogan2023trsav1"/>
    <w:p>
      <w:pPr>
        <w:pStyle w:val="Bibliography"/>
      </w:pPr>
      <w:r>
        <w:t xml:space="preserve">Aydoğan, Murat, and Veysel Kocaman. 2023.</w:t>
      </w:r>
      <w:r>
        <w:t xml:space="preserve"> </w:t>
      </w:r>
      <w:r>
        <w:t xml:space="preserve">“TrSAV1: A New Benchmark Dataset for Classifying User Reviews on Turkish e-Commerce Websites.”</w:t>
      </w:r>
      <w:r>
        <w:t xml:space="preserve"> </w:t>
      </w:r>
      <w:r>
        <w:rPr>
          <w:i/>
          <w:iCs/>
        </w:rPr>
        <w:t xml:space="preserve">Journal of Information Science</w:t>
      </w:r>
      <w:r>
        <w:t xml:space="preserve"> </w:t>
      </w:r>
      <w:r>
        <w:t xml:space="preserve">49 (6): 1711–25.</w:t>
      </w:r>
    </w:p>
    <w:bookmarkEnd w:id="44"/>
    <w:bookmarkStart w:id="45" w:name="ref-bilgin2025"/>
    <w:p>
      <w:pPr>
        <w:pStyle w:val="Bibliography"/>
      </w:pPr>
      <w:r>
        <w:t xml:space="preserve">Bilgin, Metin, and Melek Turan. 2025.</w:t>
      </w:r>
      <w:r>
        <w:t xml:space="preserve"> </w:t>
      </w:r>
      <w:r>
        <w:t xml:space="preserve">“Aspect-Based Sentiment Analysis for Turkish Reviews Using Token and Sequential Classification Methods.”</w:t>
      </w:r>
      <w:r>
        <w:t xml:space="preserve"> </w:t>
      </w:r>
      <w:r>
        <w:rPr>
          <w:i/>
          <w:iCs/>
        </w:rPr>
        <w:t xml:space="preserve">International Journal of Computer and Information Technology</w:t>
      </w:r>
      <w:r>
        <w:t xml:space="preserve"> </w:t>
      </w:r>
      <w:r>
        <w:t xml:space="preserve">14 (3): 90–99.</w:t>
      </w:r>
    </w:p>
    <w:bookmarkEnd w:id="45"/>
    <w:bookmarkStart w:id="46" w:name="ref-demircan2021"/>
    <w:p>
      <w:pPr>
        <w:pStyle w:val="Bibliography"/>
      </w:pPr>
      <w:r>
        <w:t xml:space="preserve">Demircan, Mustafa, and Onur Tuna. 2021.</w:t>
      </w:r>
      <w:r>
        <w:t xml:space="preserve"> </w:t>
      </w:r>
      <w:r>
        <w:t xml:space="preserve">“Developing Turkish Sentiment Analysis Models Using Various Machine Learning Techniques.”</w:t>
      </w:r>
      <w:r>
        <w:t xml:space="preserve"> </w:t>
      </w:r>
      <w:r>
        <w:rPr>
          <w:i/>
          <w:iCs/>
        </w:rPr>
        <w:t xml:space="preserve">Machine Learning with Applications</w:t>
      </w:r>
      <w:r>
        <w:t xml:space="preserve"> </w:t>
      </w:r>
      <w:r>
        <w:t xml:space="preserve">6: 100163.</w:t>
      </w:r>
    </w:p>
    <w:bookmarkEnd w:id="46"/>
    <w:bookmarkStart w:id="48" w:name="ref-hepsi2024financial"/>
    <w:p>
      <w:pPr>
        <w:pStyle w:val="Bibliography"/>
      </w:pPr>
      <w:r>
        <w:t xml:space="preserve">D-MARKET Electronic Services &amp; Trading. 2024.</w:t>
      </w:r>
      <w:r>
        <w:t xml:space="preserve"> </w:t>
      </w:r>
      <w:r>
        <w:rPr>
          <w:i/>
          <w:iCs/>
        </w:rPr>
        <w:t xml:space="preserve">Hepsiburada Q3 2024 Financial Results Presentation</w:t>
      </w:r>
      <w:r>
        <w:t xml:space="preserve">.</w:t>
      </w:r>
      <w:r>
        <w:t xml:space="preserve"> </w:t>
      </w:r>
      <w:hyperlink r:id="rId47">
        <w:r>
          <w:rPr>
            <w:rStyle w:val="Hyperlink"/>
          </w:rPr>
          <w:t xml:space="preserve">Https://investors.hepsiburada.com</w:t>
        </w:r>
      </w:hyperlink>
      <w:r>
        <w:t xml:space="preserve">.</w:t>
      </w:r>
    </w:p>
    <w:bookmarkEnd w:id="48"/>
    <w:bookmarkStart w:id="49" w:name="ref-fleiss1971measuring"/>
    <w:p>
      <w:pPr>
        <w:pStyle w:val="Bibliography"/>
      </w:pPr>
      <w:r>
        <w:t xml:space="preserve">Fleiss, Joseph L. 1971.</w:t>
      </w:r>
      <w:r>
        <w:t xml:space="preserve"> </w:t>
      </w:r>
      <w:r>
        <w:t xml:space="preserve">“Measuring Nominal Scale Agreement Among Many Raters.”</w:t>
      </w:r>
      <w:r>
        <w:t xml:space="preserve"> </w:t>
      </w:r>
      <w:r>
        <w:rPr>
          <w:i/>
          <w:iCs/>
        </w:rPr>
        <w:t xml:space="preserve">Psychological Bulletin</w:t>
      </w:r>
      <w:r>
        <w:t xml:space="preserve"> </w:t>
      </w:r>
      <w:r>
        <w:t xml:space="preserve">76 (5): 378–82.</w:t>
      </w:r>
    </w:p>
    <w:bookmarkEnd w:id="49"/>
    <w:bookmarkStart w:id="50" w:name="ref-hu2004mining"/>
    <w:p>
      <w:pPr>
        <w:pStyle w:val="Bibliography"/>
      </w:pPr>
      <w:r>
        <w:t xml:space="preserve">Hu, Minqing, and Bing Liu. 2004.</w:t>
      </w:r>
      <w:r>
        <w:t xml:space="preserve"> </w:t>
      </w:r>
      <w:r>
        <w:t xml:space="preserve">“Mining and Summarizing Customer Reviews.”</w:t>
      </w:r>
      <w:r>
        <w:t xml:space="preserve"> </w:t>
      </w:r>
      <w:r>
        <w:rPr>
          <w:i/>
          <w:iCs/>
        </w:rPr>
        <w:t xml:space="preserve">Proceedings of the Tenth ACM SIGKDD International Conference on Knowledge Discovery and Data Mining</w:t>
      </w:r>
      <w:r>
        <w:t xml:space="preserve">, 168–77.</w:t>
      </w:r>
    </w:p>
    <w:bookmarkEnd w:id="50"/>
    <w:bookmarkStart w:id="51" w:name="ref-hu2009overcoming"/>
    <w:p>
      <w:pPr>
        <w:pStyle w:val="Bibliography"/>
      </w:pPr>
      <w:r>
        <w:t xml:space="preserve">Hu, Nan, Paul A Pavlou, and Jennifer Zhang. 2009.</w:t>
      </w:r>
      <w:r>
        <w:t xml:space="preserve"> </w:t>
      </w:r>
      <w:r>
        <w:t xml:space="preserve">“Overcoming the j-Shaped Distribution of Product Reviews.”</w:t>
      </w:r>
      <w:r>
        <w:t xml:space="preserve"> </w:t>
      </w:r>
      <w:r>
        <w:rPr>
          <w:i/>
          <w:iCs/>
        </w:rPr>
        <w:t xml:space="preserve">Communications of the ACM</w:t>
      </w:r>
      <w:r>
        <w:t xml:space="preserve"> </w:t>
      </w:r>
      <w:r>
        <w:t xml:space="preserve">52 (10): 144–47.</w:t>
      </w:r>
    </w:p>
    <w:bookmarkEnd w:id="51"/>
    <w:bookmarkStart w:id="52" w:name="ref-hua2024systematic"/>
    <w:p>
      <w:pPr>
        <w:pStyle w:val="Bibliography"/>
      </w:pPr>
      <w:r>
        <w:t xml:space="preserve">Hua, Yan Cathy, Paul Denny, Jörg Wicker, and Katerina Taskova. 2024.</w:t>
      </w:r>
      <w:r>
        <w:t xml:space="preserve"> </w:t>
      </w:r>
      <w:r>
        <w:t xml:space="preserve">“A Systematic Review of Aspect-Based Sentiment Analysis: Domains, Methods, and Trends.”</w:t>
      </w:r>
      <w:r>
        <w:t xml:space="preserve"> </w:t>
      </w:r>
      <w:r>
        <w:rPr>
          <w:i/>
          <w:iCs/>
        </w:rPr>
        <w:t xml:space="preserve">Artificial Intelligence Review</w:t>
      </w:r>
      <w:r>
        <w:t xml:space="preserve"> </w:t>
      </w:r>
      <w:r>
        <w:t xml:space="preserve">57 (11): 1–50.</w:t>
      </w:r>
    </w:p>
    <w:bookmarkEnd w:id="52"/>
    <w:bookmarkStart w:id="53" w:name="ref-loshchilov2017decoupled"/>
    <w:p>
      <w:pPr>
        <w:pStyle w:val="Bibliography"/>
      </w:pPr>
      <w:r>
        <w:t xml:space="preserve">Loshchilov, Ilya, and Frank Hutter. 2019.</w:t>
      </w:r>
      <w:r>
        <w:t xml:space="preserve"> </w:t>
      </w:r>
      <w:r>
        <w:t xml:space="preserve">“Decoupled Weight Decay Regularization.”</w:t>
      </w:r>
      <w:r>
        <w:t xml:space="preserve"> </w:t>
      </w:r>
      <w:r>
        <w:rPr>
          <w:i/>
          <w:iCs/>
        </w:rPr>
        <w:t xml:space="preserve">International Conference on Learning Representations (ICLR)</w:t>
      </w:r>
      <w:r>
        <w:t xml:space="preserve">.</w:t>
      </w:r>
    </w:p>
    <w:bookmarkEnd w:id="53"/>
    <w:bookmarkStart w:id="54" w:name="ref-ozkan2022"/>
    <w:p>
      <w:pPr>
        <w:pStyle w:val="Bibliography"/>
      </w:pPr>
      <w:r>
        <w:t xml:space="preserve">Özkan, S. et al.</w:t>
      </w:r>
      <w:r>
        <w:t xml:space="preserve"> 2022.</w:t>
      </w:r>
      <w:r>
        <w:t xml:space="preserve"> </w:t>
      </w:r>
      <w:r>
        <w:t xml:space="preserve">“Goal-Based Sentiment Analysis on Turkish Smartphone Reviews.”</w:t>
      </w:r>
      <w:r>
        <w:t xml:space="preserve"> </w:t>
      </w:r>
      <w:r>
        <w:rPr>
          <w:i/>
          <w:iCs/>
        </w:rPr>
        <w:t xml:space="preserve">International Conference on Artificial Intelligence and Data Processing (IDAP)</w:t>
      </w:r>
      <w:r>
        <w:t xml:space="preserve">.</w:t>
      </w:r>
    </w:p>
    <w:bookmarkEnd w:id="54"/>
    <w:bookmarkStart w:id="55" w:name="ref-semabsa"/>
    <w:p>
      <w:pPr>
        <w:pStyle w:val="Bibliography"/>
      </w:pPr>
      <w:r>
        <w:t xml:space="preserve">Pontiki, Maria, Dimitris Galanis, Harris Papageorgiou, Ion Androutsopoulos, et al.</w:t>
      </w:r>
      <w:r>
        <w:t xml:space="preserve"> 2016a.</w:t>
      </w:r>
      <w:r>
        <w:t xml:space="preserve"> </w:t>
      </w:r>
      <w:r>
        <w:t xml:space="preserve">“SemEval-2016 Task 5: Aspect Based Sentiment Analysis.”</w:t>
      </w:r>
      <w:r>
        <w:t xml:space="preserve"> </w:t>
      </w:r>
      <w:r>
        <w:rPr>
          <w:i/>
          <w:iCs/>
        </w:rPr>
        <w:t xml:space="preserve">Proceedings of the 10th International Workshop on Semantic Evaluation (SemEval-2016)</w:t>
      </w:r>
      <w:r>
        <w:t xml:space="preserve">, 19–30.</w:t>
      </w:r>
    </w:p>
    <w:bookmarkEnd w:id="55"/>
    <w:bookmarkStart w:id="56" w:name="ref-pontiki2016semeval"/>
    <w:p>
      <w:pPr>
        <w:pStyle w:val="Bibliography"/>
      </w:pPr>
      <w:r>
        <w:t xml:space="preserve">Pontiki, Maria, Dimitris Galanis, Harris Papageorgiou, Ion Androutsopoulos, et al.</w:t>
      </w:r>
      <w:r>
        <w:t xml:space="preserve"> 2016b.</w:t>
      </w:r>
      <w:r>
        <w:t xml:space="preserve"> </w:t>
      </w:r>
      <w:r>
        <w:t xml:space="preserve">“SemEval-2016 Task 5: Aspect Based Sentiment Analysis.”</w:t>
      </w:r>
      <w:r>
        <w:t xml:space="preserve"> </w:t>
      </w:r>
      <w:r>
        <w:rPr>
          <w:i/>
          <w:iCs/>
        </w:rPr>
        <w:t xml:space="preserve">Procs. Of the 10th International Workshop on Semantic Evaluation (SemEval 2016)</w:t>
      </w:r>
      <w:r>
        <w:t xml:space="preserve">, 19–30.</w:t>
      </w:r>
    </w:p>
    <w:bookmarkEnd w:id="56"/>
    <w:bookmarkStart w:id="57" w:name="ref-berturk"/>
    <w:p>
      <w:pPr>
        <w:pStyle w:val="Bibliography"/>
      </w:pPr>
      <w:r>
        <w:t xml:space="preserve">Schweter, Stefan. 2020.</w:t>
      </w:r>
      <w:r>
        <w:t xml:space="preserve"> </w:t>
      </w:r>
      <w:r>
        <w:rPr>
          <w:i/>
          <w:iCs/>
        </w:rPr>
        <w:t xml:space="preserve">BERTurk: BERT Models for Turkish</w:t>
      </w:r>
      <w:r>
        <w:t xml:space="preserve">. Zenodo.</w:t>
      </w:r>
    </w:p>
    <w:bookmarkEnd w:id="57"/>
    <w:bookmarkStart w:id="58" w:name="ref-sun2019fine"/>
    <w:p>
      <w:pPr>
        <w:pStyle w:val="Bibliography"/>
      </w:pPr>
      <w:r>
        <w:t xml:space="preserve">Sun, Chi, Xipeng Qiu, Yige Xu, and Xuanjing Huang. 2019.</w:t>
      </w:r>
      <w:r>
        <w:t xml:space="preserve"> </w:t>
      </w:r>
      <w:r>
        <w:t xml:space="preserve">“How to Fine-Tune BERT for Text Classification?”</w:t>
      </w:r>
      <w:r>
        <w:t xml:space="preserve"> </w:t>
      </w:r>
      <w:r>
        <w:rPr>
          <w:i/>
          <w:iCs/>
        </w:rPr>
        <w:t xml:space="preserve">arXiv Preprint arXiv:1905.05583</w:t>
      </w:r>
      <w:r>
        <w:t xml:space="preserve">.</w:t>
      </w:r>
    </w:p>
    <w:bookmarkEnd w:id="58"/>
    <w:bookmarkStart w:id="59" w:name="ref-zhang2023survey"/>
    <w:p>
      <w:pPr>
        <w:pStyle w:val="Bibliography"/>
      </w:pPr>
      <w:r>
        <w:t xml:space="preserve">Zhang, Wenxuan, Xin Li, Yang Deng, Lidong Bing, and Wai Lam. 2023.</w:t>
      </w:r>
      <w:r>
        <w:t xml:space="preserve"> </w:t>
      </w:r>
      <w:r>
        <w:t xml:space="preserve">“A Survey on Aspect-Based Sentiment Analysis: Tasks, Methods, and Challenges.”</w:t>
      </w:r>
      <w:r>
        <w:t xml:space="preserve"> </w:t>
      </w:r>
      <w:r>
        <w:rPr>
          <w:i/>
          <w:iCs/>
        </w:rPr>
        <w:t xml:space="preserve">IEEE Transactions on Knowledge and Data Engineering</w:t>
      </w:r>
      <w:r>
        <w:t xml:space="preserve"> </w:t>
      </w:r>
      <w:r>
        <w:t xml:space="preserve">35 (11): 11019–38.</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hyperlink" Id="rId47" Target="https://investors.hepsiburada.com" TargetMode="External" /></Relationships>
</file>

<file path=word/_rels/footnotes.xml.rels><?xml version="1.0" encoding="UTF-8"?><Relationships xmlns="http://schemas.openxmlformats.org/package/2006/relationships"><Relationship Type="http://schemas.openxmlformats.org/officeDocument/2006/relationships/hyperlink" Id="rId47" Target="https://investors.hepsiburada.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Aspect-Based Sentiment Analysis for Turkish E-Commerce Reviews Using BERTurk </dc:title>
  <dc:creator>Ahmet Furkan Faideci, Hozan Baydu, and Serkan Eren, ,</dc:creator>
  <cp:keywords/>
  <dcterms:created xsi:type="dcterms:W3CDTF">2025-11-22T18:45:28Z</dcterms:created>
  <dcterms:modified xsi:type="dcterms:W3CDTF">2025-11-22T18:45:28Z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project presents a Turkish aspect-based sentiment analysis (ABSA) framework developed on a large-scale e-commerce review dataset collected from the Hepsiburada platform. Although ABSA has been well explored in English, existing Turkish sentiment models and datasets remain limited in scale and effectiveness, resulting in lower performance when handling multi-aspect Turkish reviews. A total of 54,416 customer reviews were gathered from 507 products spanning 10 major product categories, following a balanced data collection strategy that sampled up to 100 reviews from each star-rating level (1–5). This ensured a more uniform sentiment distribution and reduced bias toward highly positive or negative customer feedback. The dataset construction process involved automated extraction of best-selling products across categories, resulting in a scalable, reproducible pipeline suitable for NLP research. Building on this dataset, the proposed system aims to identify multiple product aspects—such as performance, durability, price, or packaging—and assign sentiment polarity (positive, negative, or neutral) to each detected aspect within a single Turkish review. The model architecture is based on fine-tuning BERTurk using a multi-label classification setup capable of producing structured outputs such as “battery”: “negative”, “screen”: “positive”. The overall goal is to develop a robust ABSA pipeline that contributes high-quality Turkish datasets, competitive benchmark results, and practical applications for e-commerce analytics and customer experience management.</vt:lpwstr>
  </property>
  <property fmtid="{D5CDD505-2E9C-101B-9397-08002B2CF9AE}" pid="3" name="address">
    <vt:lpwstr>Artificial Intelligence Graduate Program, Department of Computer Engineering, Faculty of Engineering, Gebze Technical University, Kocaeli, Türkiye </vt:lpwstr>
  </property>
  <property fmtid="{D5CDD505-2E9C-101B-9397-08002B2CF9AE}" pid="4" name="bibliography">
    <vt:lpwstr/>
  </property>
</Properties>
</file>