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2"/>
          <w:u w:val="single"/>
        </w:rPr>
        <w:t>Copyright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Transfer</w:t>
      </w:r>
      <w:r>
        <w:rPr>
          <w:spacing w:val="3"/>
          <w:u w:val="single"/>
        </w:rPr>
        <w:t> </w:t>
      </w:r>
      <w:r>
        <w:rPr>
          <w:spacing w:val="-4"/>
          <w:u w:val="single"/>
        </w:rPr>
        <w:t>Form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78" w:lineRule="auto"/>
      </w:pPr>
      <w:r>
        <w:rPr/>
        <w:t>Title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paper:</w:t>
      </w:r>
      <w:r>
        <w:rPr>
          <w:spacing w:val="40"/>
        </w:rPr>
        <w:t> </w:t>
      </w:r>
      <w:r>
        <w:rPr/>
        <w:t>Finansal</w:t>
      </w:r>
      <w:r>
        <w:rPr>
          <w:spacing w:val="-5"/>
        </w:rPr>
        <w:t> </w:t>
      </w:r>
      <w:r>
        <w:rPr/>
        <w:t>Duygu</w:t>
      </w:r>
      <w:r>
        <w:rPr>
          <w:spacing w:val="-4"/>
        </w:rPr>
        <w:t> </w:t>
      </w:r>
      <w:r>
        <w:rPr/>
        <w:t>Analizinde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Genellemesi:</w:t>
      </w:r>
      <w:r>
        <w:rPr>
          <w:spacing w:val="-4"/>
        </w:rPr>
        <w:t> </w:t>
      </w:r>
      <w:r>
        <w:rPr/>
        <w:t>FinBERT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İnce</w:t>
      </w:r>
      <w:r>
        <w:rPr>
          <w:spacing w:val="-7"/>
        </w:rPr>
        <w:t> </w:t>
      </w:r>
      <w:r>
        <w:rPr/>
        <w:t>Ayarlı Transformer Modellerinin Karşılaştırmalı İncelenmesi</w:t>
      </w:r>
    </w:p>
    <w:p>
      <w:pPr>
        <w:pStyle w:val="BodyText"/>
        <w:spacing w:line="278" w:lineRule="auto" w:before="160"/>
        <w:ind w:right="386"/>
      </w:pPr>
      <w:r>
        <w:rPr/>
        <w:t>The authors hereby transfer all copyrights in and to the manuscript named above in all forms and</w:t>
      </w:r>
      <w:r>
        <w:rPr>
          <w:spacing w:val="-7"/>
        </w:rPr>
        <w:t> </w:t>
      </w:r>
      <w:r>
        <w:rPr/>
        <w:t>media,</w:t>
      </w:r>
      <w:r>
        <w:rPr>
          <w:spacing w:val="-8"/>
        </w:rPr>
        <w:t> </w:t>
      </w:r>
      <w:r>
        <w:rPr/>
        <w:t>now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hereafter</w:t>
      </w:r>
      <w:r>
        <w:rPr>
          <w:spacing w:val="-5"/>
        </w:rPr>
        <w:t> </w:t>
      </w:r>
      <w:r>
        <w:rPr/>
        <w:t>known,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  <w:i/>
        </w:rPr>
        <w:t>All</w:t>
      </w:r>
      <w:r>
        <w:rPr>
          <w:b/>
          <w:i/>
          <w:spacing w:val="-7"/>
        </w:rPr>
        <w:t> </w:t>
      </w:r>
      <w:r>
        <w:rPr>
          <w:b/>
          <w:i/>
        </w:rPr>
        <w:t>Sciences</w:t>
      </w:r>
      <w:r>
        <w:rPr>
          <w:b/>
          <w:i/>
          <w:spacing w:val="-7"/>
        </w:rPr>
        <w:t> </w:t>
      </w:r>
      <w:r>
        <w:rPr>
          <w:b/>
          <w:i/>
        </w:rPr>
        <w:t>Proceedings</w:t>
      </w:r>
      <w:r>
        <w:rPr>
          <w:b/>
          <w:i/>
          <w:spacing w:val="-7"/>
        </w:rPr>
        <w:t> </w:t>
      </w:r>
      <w:r>
        <w:rPr>
          <w:b/>
          <w:i/>
        </w:rPr>
        <w:t>(AS</w:t>
      </w:r>
      <w:r>
        <w:rPr>
          <w:b/>
          <w:i/>
          <w:spacing w:val="-4"/>
        </w:rPr>
        <w:t> </w:t>
      </w:r>
      <w:r>
        <w:rPr>
          <w:b/>
          <w:i/>
        </w:rPr>
        <w:t>Proceedings)</w:t>
      </w:r>
      <w:r>
        <w:rPr>
          <w:b/>
          <w:i/>
          <w:spacing w:val="-4"/>
        </w:rPr>
        <w:t> </w:t>
      </w:r>
      <w:r>
        <w:rPr/>
        <w:t>effective if and when the paper is accepted for publication. The authors reserve all proprietary right</w:t>
      </w:r>
    </w:p>
    <w:p>
      <w:pPr>
        <w:pStyle w:val="BodyText"/>
        <w:spacing w:line="291" w:lineRule="exact"/>
      </w:pPr>
      <w:r>
        <w:rPr/>
        <w:t>other</w:t>
      </w:r>
      <w:r>
        <w:rPr>
          <w:spacing w:val="-4"/>
        </w:rPr>
        <w:t> </w:t>
      </w:r>
      <w:r>
        <w:rPr/>
        <w:t>than</w:t>
      </w:r>
      <w:r>
        <w:rPr>
          <w:spacing w:val="-6"/>
        </w:rPr>
        <w:t> </w:t>
      </w:r>
      <w:r>
        <w:rPr/>
        <w:t>copyright,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patent</w:t>
      </w:r>
      <w:r>
        <w:rPr>
          <w:spacing w:val="-5"/>
        </w:rPr>
        <w:t> </w:t>
      </w:r>
      <w:r>
        <w:rPr>
          <w:spacing w:val="-2"/>
        </w:rPr>
        <w:t>rights.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278" w:lineRule="auto"/>
        <w:ind w:right="386"/>
      </w:pPr>
      <w:r>
        <w:rPr/>
        <w:t>Everyone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listed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author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article</w:t>
      </w:r>
      <w:r>
        <w:rPr>
          <w:spacing w:val="-9"/>
        </w:rPr>
        <w:t> </w:t>
      </w:r>
      <w:r>
        <w:rPr/>
        <w:t>should</w:t>
      </w:r>
      <w:r>
        <w:rPr>
          <w:spacing w:val="-5"/>
        </w:rPr>
        <w:t> </w:t>
      </w:r>
      <w:r>
        <w:rPr/>
        <w:t>have</w:t>
      </w:r>
      <w:r>
        <w:rPr>
          <w:spacing w:val="-7"/>
        </w:rPr>
        <w:t> </w:t>
      </w:r>
      <w:r>
        <w:rPr/>
        <w:t>made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substantial,</w:t>
      </w:r>
      <w:r>
        <w:rPr>
          <w:spacing w:val="-7"/>
        </w:rPr>
        <w:t> </w:t>
      </w:r>
      <w:r>
        <w:rPr/>
        <w:t>direct, intellectual contribution to the work and should take public responsibility for it.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78" w:lineRule="auto" w:before="1"/>
      </w:pPr>
      <w:r>
        <w:rPr/>
        <w:t>This</w:t>
      </w:r>
      <w:r>
        <w:rPr>
          <w:spacing w:val="-8"/>
        </w:rPr>
        <w:t> </w:t>
      </w:r>
      <w:r>
        <w:rPr/>
        <w:t>paper</w:t>
      </w:r>
      <w:r>
        <w:rPr>
          <w:spacing w:val="-7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works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previously</w:t>
      </w:r>
      <w:r>
        <w:rPr>
          <w:spacing w:val="-6"/>
        </w:rPr>
        <w:t> </w:t>
      </w:r>
      <w:r>
        <w:rPr/>
        <w:t>published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consideration</w:t>
      </w:r>
      <w:r>
        <w:rPr>
          <w:spacing w:val="-7"/>
        </w:rPr>
        <w:t> </w:t>
      </w:r>
      <w:r>
        <w:rPr/>
        <w:t>for publication in other journals.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</w:pPr>
      <w:r>
        <w:rPr>
          <w:spacing w:val="-2"/>
        </w:rPr>
        <w:t>Authors:</w:t>
      </w:r>
    </w:p>
    <w:p>
      <w:pPr>
        <w:pStyle w:val="BodyText"/>
        <w:spacing w:before="11" w:after="1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9"/>
        <w:gridCol w:w="3845"/>
        <w:gridCol w:w="2768"/>
      </w:tblGrid>
      <w:tr>
        <w:trPr>
          <w:trHeight w:val="585" w:hRule="atLeast"/>
        </w:trPr>
        <w:tc>
          <w:tcPr>
            <w:tcW w:w="2739" w:type="dxa"/>
          </w:tcPr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845" w:type="dxa"/>
          </w:tcPr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2768" w:type="dxa"/>
          </w:tcPr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>
        <w:trPr>
          <w:trHeight w:val="1477" w:hRule="atLeast"/>
        </w:trPr>
        <w:tc>
          <w:tcPr>
            <w:tcW w:w="273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Serkan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KAYMAK</w:t>
            </w:r>
          </w:p>
        </w:tc>
        <w:tc>
          <w:tcPr>
            <w:tcW w:w="3845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05927" cy="937926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927" cy="93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8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15.09.2026</w:t>
            </w:r>
          </w:p>
        </w:tc>
      </w:tr>
      <w:tr>
        <w:trPr>
          <w:trHeight w:val="1246" w:hRule="atLeast"/>
        </w:trPr>
        <w:tc>
          <w:tcPr>
            <w:tcW w:w="2739" w:type="dxa"/>
          </w:tcPr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Mansur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2"/>
                <w:sz w:val="24"/>
              </w:rPr>
              <w:t> TOÇOĞLU</w:t>
            </w:r>
          </w:p>
        </w:tc>
        <w:tc>
          <w:tcPr>
            <w:tcW w:w="3845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7321" cy="63246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21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8" w:type="dxa"/>
          </w:tcPr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15.09.2026</w:t>
            </w:r>
          </w:p>
        </w:tc>
      </w:tr>
    </w:tbl>
    <w:sectPr>
      <w:type w:val="continuous"/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serkan kaymak</dc:creator>
  <dcterms:created xsi:type="dcterms:W3CDTF">2026-09-15T11:17:13Z</dcterms:created>
  <dcterms:modified xsi:type="dcterms:W3CDTF">2026-09-15T11:17:13Z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2016</vt:lpwstr>
  </property>
</Properties>
</file>