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7365D"/>
          <w:sz w:val="42"/>
        </w:rPr>
        <w:t>TEZ ÇALIŞMASI – MANTIK SIRALI DETAYLI ÖZET</w:t>
      </w:r>
    </w:p>
    <w:p>
      <w:pPr>
        <w:jc w:val="center"/>
      </w:pPr>
      <w:r>
        <w:rPr>
          <w:color w:val="505050"/>
          <w:sz w:val="23"/>
        </w:rPr>
        <w:t>Ne yaptık?  •  Neden yaptık?  •  Ne sonuç aldık?  •  Ne anladık?</w:t>
      </w:r>
    </w:p>
    <w:p>
      <w:pPr>
        <w:jc w:val="center"/>
      </w:pPr>
      <w:r>
        <w:rPr>
          <w:i/>
          <w:sz w:val="20"/>
        </w:rPr>
        <w:t>Savunma öncesi çalışma notu</w:t>
      </w:r>
    </w:p>
    <w:p>
      <w:r>
        <w:t>Bu dokümanın amacı tezde yapılan deneyleri notebook sırasına göre değil, araştırmanın mantığına göre tek bir hikâye halinde toparlamaktır. Savunmada her deney için dört soruyu hatırlamak yeterlidir: Neyi test ettik? Neden test ettik? Ne çıktı? Bu sonuç bize ne söyledi?</w:t>
      </w:r>
    </w:p>
    <w:p>
      <w:pPr>
        <w:pStyle w:val="Heading1"/>
        <w:keepNext/>
        <w:spacing w:before="160" w:after="80"/>
      </w:pPr>
      <w:r>
        <w:t>1. Başlangıçta asıl araştırma sorumuz neydi?</w:t>
      </w:r>
    </w:p>
    <w:p>
      <w:r>
        <w:t>Çalışmaya başlarken temel sezgi şuydu: FinBERT finansal metinler üzerinde önceden eğitilmiş bir model olduğu için finansal duygu analizinde genel amaçlı BERT veya RoBERTa gibi modellere göre doğal bir avantaja sahip olmalıydı. Bu nedenle ilk soru, “Finansal duygu analizinde FinBERT gerçekten en iyi model mi?” şeklindeydi.</w:t>
      </w:r>
    </w:p>
    <w:p>
      <w:r>
        <w:t>Çalışma ilerledikçe soru daha anlamlı bir hale geldi: Alan-özgü ön eğitim mi daha önemli, yoksa modeli hedef veri setine task-specific olarak fine-tune etmek mi? Ayrıca bir model kendi iç test setinde çok iyi sonuç aldığında, farklı finansal veri kaynaklarında da aynı başarıyı koruyabiliyor mu?</w:t>
      </w:r>
    </w:p>
    <w:p>
      <w:pPr>
        <w:pStyle w:val="SavunmaCümlesi"/>
      </w:pPr>
      <w:r>
        <w:rPr>
          <w:b/>
        </w:rPr>
        <w:t xml:space="preserve">Savunmada kısa anlatım: </w:t>
      </w:r>
      <w:r>
        <w:t>“FinBERT finans alanına özel olduğu için avantajlı olmasını bekledik; fakat asıl olarak domain-specific pretraining, task-specific fine-tuning ve farklı veri kaynaklarına genelleme arasındaki ilişkiyi araştırdık.”</w:t>
      </w:r>
    </w:p>
    <w:p>
      <w:pPr>
        <w:pStyle w:val="Heading1"/>
        <w:keepNext/>
        <w:spacing w:before="160" w:after="80"/>
      </w:pPr>
      <w:r>
        <w:t>2. Hangi verilerle başladık?</w:t>
      </w:r>
    </w:p>
    <w:p>
      <w:r>
        <w:t>Ana eğitim havuzu hazır etiketli iki finansal sentiment veri setinden oluşturuldu. Bu veriler Negative, Neutral ve Positive olmak üzere üç sınıflı sentiment etiketlerine sahipti.</w:t>
      </w:r>
    </w:p>
    <w:tbl>
      <w:tblPr>
        <w:tblStyle w:val="TableGrid"/>
        <w:tblW w:type="auto" w:w="0"/>
        <w:jc w:val="center"/>
        <w:tblLook w:firstColumn="1" w:firstRow="1" w:lastColumn="0" w:lastRow="0" w:noHBand="0" w:noVBand="1" w:val="04A0"/>
      </w:tblPr>
      <w:tblGrid>
        <w:gridCol w:w="3324"/>
        <w:gridCol w:w="3324"/>
        <w:gridCol w:w="3324"/>
      </w:tblGrid>
      <w:tr>
        <w:trPr>
          <w:cantSplit/>
        </w:trPr>
        <w:tc>
          <w:tcPr>
            <w:tcW w:type="dxa" w:w="3685"/>
            <w:vAlign w:val="center"/>
            <w:shd w:fill="365F91"/>
          </w:tcPr>
          <w:p>
            <w:pPr>
              <w:spacing w:after="0" w:before="0"/>
            </w:pPr>
            <w:r/>
            <w:r>
              <w:rPr>
                <w:rFonts w:ascii="Aptos" w:hAnsi="Aptos"/>
                <w:b/>
                <w:color w:val="FFFFFF"/>
                <w:sz w:val="18"/>
              </w:rPr>
              <w:t>Veri kaynağı</w:t>
            </w:r>
          </w:p>
        </w:tc>
        <w:tc>
          <w:tcPr>
            <w:tcW w:type="dxa" w:w="3685"/>
            <w:vAlign w:val="center"/>
            <w:shd w:fill="365F91"/>
          </w:tcPr>
          <w:p>
            <w:pPr>
              <w:spacing w:after="0" w:before="0"/>
            </w:pPr>
            <w:r/>
            <w:r>
              <w:rPr>
                <w:rFonts w:ascii="Aptos" w:hAnsi="Aptos"/>
                <w:b/>
                <w:color w:val="FFFFFF"/>
                <w:sz w:val="18"/>
              </w:rPr>
              <w:t>Rolü</w:t>
            </w:r>
          </w:p>
        </w:tc>
        <w:tc>
          <w:tcPr>
            <w:tcW w:type="dxa" w:w="1701"/>
            <w:vAlign w:val="center"/>
            <w:shd w:fill="365F91"/>
          </w:tcPr>
          <w:p>
            <w:pPr>
              <w:spacing w:after="0" w:before="0"/>
            </w:pPr>
            <w:r/>
            <w:r>
              <w:rPr>
                <w:rFonts w:ascii="Aptos" w:hAnsi="Aptos"/>
                <w:b/>
                <w:color w:val="FFFFFF"/>
                <w:sz w:val="18"/>
              </w:rPr>
              <w:t>Örnek sayısı</w:t>
            </w:r>
          </w:p>
        </w:tc>
      </w:tr>
      <w:tr>
        <w:trPr>
          <w:cantSplit/>
        </w:trPr>
        <w:tc>
          <w:tcPr>
            <w:tcW w:type="dxa" w:w="3685"/>
            <w:vAlign w:val="center"/>
          </w:tcPr>
          <w:p>
            <w:pPr>
              <w:spacing w:after="0" w:before="0"/>
            </w:pPr>
            <w:r/>
            <w:r>
              <w:rPr>
                <w:rFonts w:ascii="Aptos" w:hAnsi="Aptos"/>
                <w:b w:val="0"/>
                <w:sz w:val="18"/>
              </w:rPr>
              <w:t>Twitter Financial News Sentiment</w:t>
            </w:r>
          </w:p>
        </w:tc>
        <w:tc>
          <w:tcPr>
            <w:tcW w:type="dxa" w:w="3685"/>
            <w:vAlign w:val="center"/>
          </w:tcPr>
          <w:p>
            <w:pPr>
              <w:spacing w:after="0" w:before="0"/>
            </w:pPr>
            <w:r/>
            <w:r>
              <w:rPr>
                <w:rFonts w:ascii="Aptos" w:hAnsi="Aptos"/>
                <w:b w:val="0"/>
                <w:sz w:val="18"/>
              </w:rPr>
              <w:t>Ana eğitim/test kaynağı</w:t>
            </w:r>
          </w:p>
        </w:tc>
        <w:tc>
          <w:tcPr>
            <w:tcW w:type="dxa" w:w="1701"/>
            <w:vAlign w:val="center"/>
          </w:tcPr>
          <w:p>
            <w:pPr>
              <w:spacing w:after="0" w:before="0"/>
            </w:pPr>
            <w:r/>
            <w:r>
              <w:rPr>
                <w:rFonts w:ascii="Aptos" w:hAnsi="Aptos"/>
                <w:b w:val="0"/>
                <w:sz w:val="18"/>
              </w:rPr>
              <w:t>11.931</w:t>
            </w:r>
          </w:p>
        </w:tc>
      </w:tr>
      <w:tr>
        <w:trPr>
          <w:cantSplit/>
        </w:trPr>
        <w:tc>
          <w:tcPr>
            <w:tcW w:type="dxa" w:w="3685"/>
            <w:vAlign w:val="center"/>
            <w:shd w:fill="F3F6FA"/>
          </w:tcPr>
          <w:p>
            <w:pPr>
              <w:spacing w:after="0" w:before="0"/>
            </w:pPr>
            <w:r/>
            <w:r>
              <w:rPr>
                <w:rFonts w:ascii="Aptos" w:hAnsi="Aptos"/>
                <w:b w:val="0"/>
                <w:sz w:val="18"/>
              </w:rPr>
              <w:t>Financial PhraseBank</w:t>
            </w:r>
          </w:p>
        </w:tc>
        <w:tc>
          <w:tcPr>
            <w:tcW w:type="dxa" w:w="3685"/>
            <w:vAlign w:val="center"/>
            <w:shd w:fill="F3F6FA"/>
          </w:tcPr>
          <w:p>
            <w:pPr>
              <w:spacing w:after="0" w:before="0"/>
            </w:pPr>
            <w:r/>
            <w:r>
              <w:rPr>
                <w:rFonts w:ascii="Aptos" w:hAnsi="Aptos"/>
                <w:b w:val="0"/>
                <w:sz w:val="18"/>
              </w:rPr>
              <w:t>Yardımcı eğitim verisi</w:t>
            </w:r>
          </w:p>
        </w:tc>
        <w:tc>
          <w:tcPr>
            <w:tcW w:type="dxa" w:w="1701"/>
            <w:vAlign w:val="center"/>
            <w:shd w:fill="F3F6FA"/>
          </w:tcPr>
          <w:p>
            <w:pPr>
              <w:spacing w:after="0" w:before="0"/>
            </w:pPr>
            <w:r/>
            <w:r>
              <w:rPr>
                <w:rFonts w:ascii="Aptos" w:hAnsi="Aptos"/>
                <w:b w:val="0"/>
                <w:sz w:val="18"/>
              </w:rPr>
              <w:t>4.846</w:t>
            </w:r>
          </w:p>
        </w:tc>
      </w:tr>
      <w:tr>
        <w:trPr>
          <w:cantSplit/>
        </w:trPr>
        <w:tc>
          <w:tcPr>
            <w:tcW w:type="dxa" w:w="3685"/>
            <w:vAlign w:val="center"/>
          </w:tcPr>
          <w:p>
            <w:pPr>
              <w:spacing w:after="0" w:before="0"/>
            </w:pPr>
            <w:r/>
            <w:r>
              <w:rPr>
                <w:rFonts w:ascii="Aptos" w:hAnsi="Aptos"/>
                <w:b w:val="0"/>
                <w:sz w:val="18"/>
              </w:rPr>
              <w:t>Toplam</w:t>
            </w:r>
          </w:p>
        </w:tc>
        <w:tc>
          <w:tcPr>
            <w:tcW w:type="dxa" w:w="3685"/>
            <w:vAlign w:val="center"/>
          </w:tcPr>
          <w:p>
            <w:pPr>
              <w:spacing w:after="0" w:before="0"/>
            </w:pPr>
            <w:r/>
            <w:r>
              <w:rPr>
                <w:rFonts w:ascii="Aptos" w:hAnsi="Aptos"/>
                <w:b w:val="0"/>
                <w:sz w:val="18"/>
              </w:rPr>
              <w:t>Ana veri havuzu</w:t>
            </w:r>
          </w:p>
        </w:tc>
        <w:tc>
          <w:tcPr>
            <w:tcW w:type="dxa" w:w="1701"/>
            <w:vAlign w:val="center"/>
          </w:tcPr>
          <w:p>
            <w:pPr>
              <w:spacing w:after="0" w:before="0"/>
            </w:pPr>
            <w:r/>
            <w:r>
              <w:rPr>
                <w:rFonts w:ascii="Aptos" w:hAnsi="Aptos"/>
                <w:b w:val="0"/>
                <w:sz w:val="18"/>
              </w:rPr>
              <w:t>16.777</w:t>
            </w:r>
          </w:p>
        </w:tc>
      </w:tr>
    </w:tbl>
    <w:p>
      <w:pPr>
        <w:spacing w:after="0"/>
      </w:pPr>
    </w:p>
    <w:p>
      <w:r>
        <w:t>Veri dağılımında Neutral sınıfı baskındı ve yaklaşık %63 seviyesindeydi. Bu nedenle sadece accuracy kullanmak yanıltıcı olabilirdi. Ana performans metriği olarak Macro-F1 seçildi; çünkü Macro-F1 üç sınıfın her birine eşit ağırlık verir ve büyük olan Neutral sınıfının toplam sonucu tek başına domine etmesini engeller.</w:t>
      </w:r>
    </w:p>
    <w:tbl>
      <w:tblPr>
        <w:tblStyle w:val="TableGrid"/>
        <w:tblW w:type="auto" w:w="0"/>
        <w:jc w:val="center"/>
        <w:tblLook w:firstColumn="1" w:firstRow="1" w:lastColumn="0" w:lastRow="0" w:noHBand="0" w:noVBand="1" w:val="04A0"/>
      </w:tblPr>
      <w:tblGrid>
        <w:gridCol w:w="4986"/>
        <w:gridCol w:w="4986"/>
      </w:tblGrid>
      <w:tr>
        <w:trPr>
          <w:cantSplit/>
        </w:trPr>
        <w:tc>
          <w:tcPr>
            <w:tcW w:type="dxa" w:w="4535"/>
            <w:vAlign w:val="center"/>
            <w:shd w:fill="365F91"/>
          </w:tcPr>
          <w:p>
            <w:pPr>
              <w:spacing w:after="0" w:before="0"/>
            </w:pPr>
            <w:r/>
            <w:r>
              <w:rPr>
                <w:rFonts w:ascii="Aptos" w:hAnsi="Aptos"/>
                <w:b/>
                <w:color w:val="FFFFFF"/>
                <w:sz w:val="18"/>
              </w:rPr>
              <w:t>Split</w:t>
            </w:r>
          </w:p>
        </w:tc>
        <w:tc>
          <w:tcPr>
            <w:tcW w:type="dxa" w:w="2268"/>
            <w:vAlign w:val="center"/>
            <w:shd w:fill="365F91"/>
          </w:tcPr>
          <w:p>
            <w:pPr>
              <w:spacing w:after="0" w:before="0"/>
            </w:pPr>
            <w:r/>
            <w:r>
              <w:rPr>
                <w:rFonts w:ascii="Aptos" w:hAnsi="Aptos"/>
                <w:b/>
                <w:color w:val="FFFFFF"/>
                <w:sz w:val="18"/>
              </w:rPr>
              <w:t>N</w:t>
            </w:r>
          </w:p>
        </w:tc>
      </w:tr>
      <w:tr>
        <w:trPr>
          <w:cantSplit/>
        </w:trPr>
        <w:tc>
          <w:tcPr>
            <w:tcW w:type="dxa" w:w="4535"/>
            <w:vAlign w:val="center"/>
          </w:tcPr>
          <w:p>
            <w:pPr>
              <w:spacing w:after="0" w:before="0"/>
            </w:pPr>
            <w:r/>
            <w:r>
              <w:rPr>
                <w:rFonts w:ascii="Aptos" w:hAnsi="Aptos"/>
                <w:b w:val="0"/>
                <w:sz w:val="18"/>
              </w:rPr>
              <w:t>Train</w:t>
            </w:r>
          </w:p>
        </w:tc>
        <w:tc>
          <w:tcPr>
            <w:tcW w:type="dxa" w:w="2268"/>
            <w:vAlign w:val="center"/>
          </w:tcPr>
          <w:p>
            <w:pPr>
              <w:spacing w:after="0" w:before="0"/>
            </w:pPr>
            <w:r/>
            <w:r>
              <w:rPr>
                <w:rFonts w:ascii="Aptos" w:hAnsi="Aptos"/>
                <w:b w:val="0"/>
                <w:sz w:val="18"/>
              </w:rPr>
              <w:t>12.950</w:t>
            </w:r>
          </w:p>
        </w:tc>
      </w:tr>
      <w:tr>
        <w:trPr>
          <w:cantSplit/>
        </w:trPr>
        <w:tc>
          <w:tcPr>
            <w:tcW w:type="dxa" w:w="4535"/>
            <w:vAlign w:val="center"/>
            <w:shd w:fill="F3F6FA"/>
          </w:tcPr>
          <w:p>
            <w:pPr>
              <w:spacing w:after="0" w:before="0"/>
            </w:pPr>
            <w:r/>
            <w:r>
              <w:rPr>
                <w:rFonts w:ascii="Aptos" w:hAnsi="Aptos"/>
                <w:b w:val="0"/>
                <w:sz w:val="18"/>
              </w:rPr>
              <w:t>Validation</w:t>
            </w:r>
          </w:p>
        </w:tc>
        <w:tc>
          <w:tcPr>
            <w:tcW w:type="dxa" w:w="2268"/>
            <w:vAlign w:val="center"/>
            <w:shd w:fill="F3F6FA"/>
          </w:tcPr>
          <w:p>
            <w:pPr>
              <w:spacing w:after="0" w:before="0"/>
            </w:pPr>
            <w:r/>
            <w:r>
              <w:rPr>
                <w:rFonts w:ascii="Aptos" w:hAnsi="Aptos"/>
                <w:b w:val="0"/>
                <w:sz w:val="18"/>
              </w:rPr>
              <w:t>1.432</w:t>
            </w:r>
          </w:p>
        </w:tc>
      </w:tr>
      <w:tr>
        <w:trPr>
          <w:cantSplit/>
        </w:trPr>
        <w:tc>
          <w:tcPr>
            <w:tcW w:type="dxa" w:w="4535"/>
            <w:vAlign w:val="center"/>
          </w:tcPr>
          <w:p>
            <w:pPr>
              <w:spacing w:after="0" w:before="0"/>
            </w:pPr>
            <w:r/>
            <w:r>
              <w:rPr>
                <w:rFonts w:ascii="Aptos" w:hAnsi="Aptos"/>
                <w:b w:val="0"/>
                <w:sz w:val="18"/>
              </w:rPr>
              <w:t>Test</w:t>
            </w:r>
          </w:p>
        </w:tc>
        <w:tc>
          <w:tcPr>
            <w:tcW w:type="dxa" w:w="2268"/>
            <w:vAlign w:val="center"/>
          </w:tcPr>
          <w:p>
            <w:pPr>
              <w:spacing w:after="0" w:before="0"/>
            </w:pPr>
            <w:r/>
            <w:r>
              <w:rPr>
                <w:rFonts w:ascii="Aptos" w:hAnsi="Aptos"/>
                <w:b w:val="0"/>
                <w:sz w:val="18"/>
              </w:rPr>
              <w:t>2.386</w:t>
            </w:r>
          </w:p>
        </w:tc>
      </w:tr>
    </w:tbl>
    <w:p>
      <w:pPr>
        <w:spacing w:after="0"/>
      </w:pPr>
    </w:p>
    <w:p>
      <w:r>
        <w:t>Önemli ayrım: İç test setimiz Twitter kaynağından geliyor. Financial PhraseBank, eğitim verisini zenginleştiren yardımcı kaynak olarak kullanıldı. Daha sonra yaptığımız PhraseBank ablasyonunun mantığı da buradan geliyor.</w:t>
      </w:r>
    </w:p>
    <w:p>
      <w:pPr>
        <w:pStyle w:val="Heading1"/>
        <w:keepNext/>
        <w:spacing w:before="160" w:after="80"/>
      </w:pPr>
      <w:r>
        <w:t>3. İlk olarak Original FinBERT'i neden denedik?</w:t>
      </w:r>
    </w:p>
    <w:p>
      <w:r>
        <w:t>İlk deneyde ProsusAI/finbert modelini kendi verimize fine-tune etmeden doğrudan kullandık. Buna tezde Original FinBERT veya off-the-shelf FinBERT dedik. Bunun amacı bir baseline oluşturmaktı: Finans alanına özel olarak önceden eğitilmiş bir model, bizim sentiment görevimizi hiç görmeden ne kadar iyi çözebiliyor?</w:t>
      </w:r>
    </w:p>
    <w:tbl>
      <w:tblPr>
        <w:tblStyle w:val="TableGrid"/>
        <w:tblW w:type="auto" w:w="0"/>
        <w:jc w:val="center"/>
        <w:tblLook w:firstColumn="1" w:firstRow="1" w:lastColumn="0" w:lastRow="0" w:noHBand="0" w:noVBand="1" w:val="04A0"/>
      </w:tblPr>
      <w:tblGrid>
        <w:gridCol w:w="3324"/>
        <w:gridCol w:w="3324"/>
        <w:gridCol w:w="3324"/>
      </w:tblGrid>
      <w:tr>
        <w:trPr>
          <w:cantSplit/>
        </w:trPr>
        <w:tc>
          <w:tcPr>
            <w:tcW w:type="dxa" w:w="3402"/>
            <w:vAlign w:val="center"/>
            <w:shd w:fill="365F91"/>
          </w:tcPr>
          <w:p>
            <w:pPr>
              <w:spacing w:after="0" w:before="0"/>
            </w:pPr>
            <w:r/>
            <w:r>
              <w:rPr>
                <w:rFonts w:ascii="Aptos" w:hAnsi="Aptos"/>
                <w:b/>
                <w:color w:val="FFFFFF"/>
                <w:sz w:val="18"/>
              </w:rPr>
              <w:t>Model</w:t>
            </w:r>
          </w:p>
        </w:tc>
        <w:tc>
          <w:tcPr>
            <w:tcW w:type="dxa" w:w="3402"/>
            <w:vAlign w:val="center"/>
            <w:shd w:fill="365F91"/>
          </w:tcPr>
          <w:p>
            <w:pPr>
              <w:spacing w:after="0" w:before="0"/>
            </w:pPr>
            <w:r/>
            <w:r>
              <w:rPr>
                <w:rFonts w:ascii="Aptos" w:hAnsi="Aptos"/>
                <w:b/>
                <w:color w:val="FFFFFF"/>
                <w:sz w:val="18"/>
              </w:rPr>
              <w:t>Durum</w:t>
            </w:r>
          </w:p>
        </w:tc>
        <w:tc>
          <w:tcPr>
            <w:tcW w:type="dxa" w:w="2268"/>
            <w:vAlign w:val="center"/>
            <w:shd w:fill="365F91"/>
          </w:tcPr>
          <w:p>
            <w:pPr>
              <w:spacing w:after="0" w:before="0"/>
            </w:pPr>
            <w:r/>
            <w:r>
              <w:rPr>
                <w:rFonts w:ascii="Aptos" w:hAnsi="Aptos"/>
                <w:b/>
                <w:color w:val="FFFFFF"/>
                <w:sz w:val="18"/>
              </w:rPr>
              <w:t>Macro-F1</w:t>
            </w:r>
          </w:p>
        </w:tc>
      </w:tr>
      <w:tr>
        <w:trPr>
          <w:cantSplit/>
        </w:trPr>
        <w:tc>
          <w:tcPr>
            <w:tcW w:type="dxa" w:w="3402"/>
            <w:vAlign w:val="center"/>
          </w:tcPr>
          <w:p>
            <w:pPr>
              <w:spacing w:after="0" w:before="0"/>
            </w:pPr>
            <w:r/>
            <w:r>
              <w:rPr>
                <w:rFonts w:ascii="Aptos" w:hAnsi="Aptos"/>
                <w:b w:val="0"/>
                <w:sz w:val="18"/>
              </w:rPr>
              <w:t>Original FinBERT</w:t>
            </w:r>
          </w:p>
        </w:tc>
        <w:tc>
          <w:tcPr>
            <w:tcW w:type="dxa" w:w="3402"/>
            <w:vAlign w:val="center"/>
          </w:tcPr>
          <w:p>
            <w:pPr>
              <w:spacing w:after="0" w:before="0"/>
            </w:pPr>
            <w:r/>
            <w:r>
              <w:rPr>
                <w:rFonts w:ascii="Aptos" w:hAnsi="Aptos"/>
                <w:b w:val="0"/>
                <w:sz w:val="18"/>
              </w:rPr>
              <w:t>Fine-tune edilmedi</w:t>
            </w:r>
          </w:p>
        </w:tc>
        <w:tc>
          <w:tcPr>
            <w:tcW w:type="dxa" w:w="2268"/>
            <w:vAlign w:val="center"/>
          </w:tcPr>
          <w:p>
            <w:pPr>
              <w:spacing w:after="0" w:before="0"/>
            </w:pPr>
            <w:r/>
            <w:r>
              <w:rPr>
                <w:rFonts w:ascii="Aptos" w:hAnsi="Aptos"/>
                <w:b w:val="0"/>
                <w:sz w:val="18"/>
              </w:rPr>
              <w:t>≈ 0.6794</w:t>
            </w:r>
          </w:p>
        </w:tc>
      </w:tr>
    </w:tbl>
    <w:p>
      <w:pPr>
        <w:spacing w:after="0"/>
      </w:pPr>
    </w:p>
    <w:p>
      <w:r>
        <w:t>Sonuç beklenenden daha düşüktü. Bu deney bize domain-specific pretraining’in tek başına yeterli olmadığını gösterdi. FinBERT finans dilini biliyor olabilir; ancak bizim veri setimizdeki Positive/Neutral/Negative karar sınırlarını ayrıca öğrenmesi gerekiyor.</w:t>
      </w:r>
    </w:p>
    <w:p>
      <w:pPr>
        <w:pStyle w:val="SavunmaCümlesi"/>
      </w:pPr>
      <w:r>
        <w:rPr>
          <w:b/>
        </w:rPr>
        <w:t xml:space="preserve">Savunmada kısa anlatım: </w:t>
      </w:r>
      <w:r>
        <w:t>“Hazır FinBERT’i baseline olarak kullandık. Yaklaşık 0.679 Macro-F1 elde ettik; bu da finans alanına özel ön eğitimin tek başına hedef sentiment görevini çözmeye yetmediğini gösterdi.”</w:t>
      </w:r>
    </w:p>
    <w:p>
      <w:pPr>
        <w:pStyle w:val="Heading1"/>
        <w:keepNext/>
        <w:spacing w:before="160" w:after="80"/>
      </w:pPr>
      <w:r>
        <w:t>4. Sonra neden dört modeli fine-tune ettik?</w:t>
      </w:r>
    </w:p>
    <w:p>
      <w:r>
        <w:t>Bir sonraki adımda FinBERT, BERT, DistilBERT ve RoBERTa modellerini aynı üç sınıflı finansal sentiment görevine adapte ettik. Amaç, task-specific fine-tuning’in ne kadar fark yarattığını ve domain-specific bir modelin genel amaçlı transformer modellerine karşı gerçekten üstün olup olmadığını görmekti.</w:t>
      </w:r>
    </w:p>
    <w:tbl>
      <w:tblPr>
        <w:tblStyle w:val="TableGrid"/>
        <w:tblW w:type="auto" w:w="0"/>
        <w:jc w:val="center"/>
        <w:tblLook w:firstColumn="1" w:firstRow="1" w:lastColumn="0" w:lastRow="0" w:noHBand="0" w:noVBand="1" w:val="04A0"/>
      </w:tblPr>
      <w:tblGrid>
        <w:gridCol w:w="4986"/>
        <w:gridCol w:w="4986"/>
      </w:tblGrid>
      <w:tr>
        <w:trPr>
          <w:cantSplit/>
        </w:trPr>
        <w:tc>
          <w:tcPr>
            <w:tcW w:type="dxa" w:w="5102"/>
            <w:vAlign w:val="center"/>
            <w:shd w:fill="365F91"/>
          </w:tcPr>
          <w:p>
            <w:pPr>
              <w:spacing w:after="0" w:before="0"/>
            </w:pPr>
            <w:r/>
            <w:r>
              <w:rPr>
                <w:rFonts w:ascii="Aptos" w:hAnsi="Aptos"/>
                <w:b/>
                <w:color w:val="FFFFFF"/>
                <w:sz w:val="18"/>
              </w:rPr>
              <w:t>Model</w:t>
            </w:r>
          </w:p>
        </w:tc>
        <w:tc>
          <w:tcPr>
            <w:tcW w:type="dxa" w:w="3969"/>
            <w:vAlign w:val="center"/>
            <w:shd w:fill="365F91"/>
          </w:tcPr>
          <w:p>
            <w:pPr>
              <w:spacing w:after="0" w:before="0"/>
            </w:pPr>
            <w:r/>
            <w:r>
              <w:rPr>
                <w:rFonts w:ascii="Aptos" w:hAnsi="Aptos"/>
                <w:b/>
                <w:color w:val="FFFFFF"/>
                <w:sz w:val="18"/>
              </w:rPr>
              <w:t>Seed 42 Internal Macro-F1</w:t>
            </w:r>
          </w:p>
        </w:tc>
      </w:tr>
      <w:tr>
        <w:trPr>
          <w:cantSplit/>
        </w:trPr>
        <w:tc>
          <w:tcPr>
            <w:tcW w:type="dxa" w:w="5102"/>
            <w:vAlign w:val="center"/>
          </w:tcPr>
          <w:p>
            <w:pPr>
              <w:spacing w:after="0" w:before="0"/>
            </w:pPr>
            <w:r/>
            <w:r>
              <w:rPr>
                <w:rFonts w:ascii="Aptos" w:hAnsi="Aptos"/>
                <w:b w:val="0"/>
                <w:sz w:val="18"/>
              </w:rPr>
              <w:t>RoBERTa</w:t>
            </w:r>
          </w:p>
        </w:tc>
        <w:tc>
          <w:tcPr>
            <w:tcW w:type="dxa" w:w="3969"/>
            <w:vAlign w:val="center"/>
          </w:tcPr>
          <w:p>
            <w:pPr>
              <w:spacing w:after="0" w:before="0"/>
            </w:pPr>
            <w:r/>
            <w:r>
              <w:rPr>
                <w:rFonts w:ascii="Aptos" w:hAnsi="Aptos"/>
                <w:b w:val="0"/>
                <w:sz w:val="18"/>
              </w:rPr>
              <w:t>0.8651</w:t>
            </w:r>
          </w:p>
        </w:tc>
      </w:tr>
      <w:tr>
        <w:trPr>
          <w:cantSplit/>
        </w:trPr>
        <w:tc>
          <w:tcPr>
            <w:tcW w:type="dxa" w:w="5102"/>
            <w:vAlign w:val="center"/>
            <w:shd w:fill="F3F6FA"/>
          </w:tcPr>
          <w:p>
            <w:pPr>
              <w:spacing w:after="0" w:before="0"/>
            </w:pPr>
            <w:r/>
            <w:r>
              <w:rPr>
                <w:rFonts w:ascii="Aptos" w:hAnsi="Aptos"/>
                <w:b w:val="0"/>
                <w:sz w:val="18"/>
              </w:rPr>
              <w:t>Fine-tuned FinBERT</w:t>
            </w:r>
          </w:p>
        </w:tc>
        <w:tc>
          <w:tcPr>
            <w:tcW w:type="dxa" w:w="3969"/>
            <w:vAlign w:val="center"/>
            <w:shd w:fill="F3F6FA"/>
          </w:tcPr>
          <w:p>
            <w:pPr>
              <w:spacing w:after="0" w:before="0"/>
            </w:pPr>
            <w:r/>
            <w:r>
              <w:rPr>
                <w:rFonts w:ascii="Aptos" w:hAnsi="Aptos"/>
                <w:b w:val="0"/>
                <w:sz w:val="18"/>
              </w:rPr>
              <w:t>0.8512</w:t>
            </w:r>
          </w:p>
        </w:tc>
      </w:tr>
      <w:tr>
        <w:trPr>
          <w:cantSplit/>
        </w:trPr>
        <w:tc>
          <w:tcPr>
            <w:tcW w:type="dxa" w:w="5102"/>
            <w:vAlign w:val="center"/>
          </w:tcPr>
          <w:p>
            <w:pPr>
              <w:spacing w:after="0" w:before="0"/>
            </w:pPr>
            <w:r/>
            <w:r>
              <w:rPr>
                <w:rFonts w:ascii="Aptos" w:hAnsi="Aptos"/>
                <w:b w:val="0"/>
                <w:sz w:val="18"/>
              </w:rPr>
              <w:t>BERT</w:t>
            </w:r>
          </w:p>
        </w:tc>
        <w:tc>
          <w:tcPr>
            <w:tcW w:type="dxa" w:w="3969"/>
            <w:vAlign w:val="center"/>
          </w:tcPr>
          <w:p>
            <w:pPr>
              <w:spacing w:after="0" w:before="0"/>
            </w:pPr>
            <w:r/>
            <w:r>
              <w:rPr>
                <w:rFonts w:ascii="Aptos" w:hAnsi="Aptos"/>
                <w:b w:val="0"/>
                <w:sz w:val="18"/>
              </w:rPr>
              <w:t>0.8378</w:t>
            </w:r>
          </w:p>
        </w:tc>
      </w:tr>
      <w:tr>
        <w:trPr>
          <w:cantSplit/>
        </w:trPr>
        <w:tc>
          <w:tcPr>
            <w:tcW w:type="dxa" w:w="5102"/>
            <w:vAlign w:val="center"/>
            <w:shd w:fill="F3F6FA"/>
          </w:tcPr>
          <w:p>
            <w:pPr>
              <w:spacing w:after="0" w:before="0"/>
            </w:pPr>
            <w:r/>
            <w:r>
              <w:rPr>
                <w:rFonts w:ascii="Aptos" w:hAnsi="Aptos"/>
                <w:b w:val="0"/>
                <w:sz w:val="18"/>
              </w:rPr>
              <w:t>DistilBERT</w:t>
            </w:r>
          </w:p>
        </w:tc>
        <w:tc>
          <w:tcPr>
            <w:tcW w:type="dxa" w:w="3969"/>
            <w:vAlign w:val="center"/>
            <w:shd w:fill="F3F6FA"/>
          </w:tcPr>
          <w:p>
            <w:pPr>
              <w:spacing w:after="0" w:before="0"/>
            </w:pPr>
            <w:r/>
            <w:r>
              <w:rPr>
                <w:rFonts w:ascii="Aptos" w:hAnsi="Aptos"/>
                <w:b w:val="0"/>
                <w:sz w:val="18"/>
              </w:rPr>
              <w:t>0.8218</w:t>
            </w:r>
          </w:p>
        </w:tc>
      </w:tr>
    </w:tbl>
    <w:p>
      <w:pPr>
        <w:spacing w:after="0"/>
      </w:pPr>
    </w:p>
    <w:p>
      <w:r>
        <w:t>Burada iki temel sonuç çıktı. Birincisi, FinBERT’in yaklaşık 0.6794 seviyesinden 0.8512 seviyesine yükselmesi task-specific fine-tuning’in çok güçlü bir etkisi olduğunu gösterdi. İkincisi, buna rağmen en iyi model FinBERT değil RoBERTa oldu. Bu da finans alanına özel olmak ile hedef görevde en yüksek performansı vermenin aynı şey olmadığını gösterdi.</w:t>
      </w:r>
    </w:p>
    <w:p>
      <w:pPr>
        <w:pStyle w:val="SavunmaCümlesi"/>
      </w:pPr>
      <w:r>
        <w:rPr>
          <w:b/>
        </w:rPr>
        <w:t xml:space="preserve">Savunmada kısa anlatım: </w:t>
      </w:r>
      <w:r>
        <w:t>“Fine-tuning FinBERT’i ciddi biçimde geliştirdi; ancak en iyi iç-test sonucu RoBERTa’dan geldi. Yani finans alanına özel pretraining otomatik olarak birincilik getirmedi.”</w:t>
      </w:r>
    </w:p>
    <w:p>
      <w:pPr>
        <w:pStyle w:val="Heading1"/>
        <w:keepNext/>
        <w:spacing w:before="160" w:after="80"/>
      </w:pPr>
      <w:r>
        <w:t>5. Neden üç farklı seed ile tekrar eğitim yaptık?</w:t>
      </w:r>
    </w:p>
    <w:p>
      <w:r>
        <w:t>Tek bir eğitim koşusunda RoBERTa’nın önde olması tesadüfi olabilir. Neural network eğitiminde ağırlık başlangıcı, veri sırası ve optimizasyon süreci küçük performans farkları yaratabilir. Bu nedenle 42, 123 ve 2024 seed’leri ile tekrar eğitim yaptık.</w:t>
      </w:r>
    </w:p>
    <w:tbl>
      <w:tblPr>
        <w:tblStyle w:val="TableGrid"/>
        <w:tblW w:type="auto" w:w="0"/>
        <w:jc w:val="center"/>
        <w:tblLook w:firstColumn="1" w:firstRow="1" w:lastColumn="0" w:lastRow="0" w:noHBand="0" w:noVBand="1" w:val="04A0"/>
      </w:tblPr>
      <w:tblGrid>
        <w:gridCol w:w="4986"/>
        <w:gridCol w:w="4986"/>
      </w:tblGrid>
      <w:tr>
        <w:trPr>
          <w:cantSplit/>
        </w:trPr>
        <w:tc>
          <w:tcPr>
            <w:tcW w:type="dxa" w:w="4535"/>
            <w:vAlign w:val="center"/>
            <w:shd w:fill="365F91"/>
          </w:tcPr>
          <w:p>
            <w:pPr>
              <w:spacing w:after="0" w:before="0"/>
            </w:pPr>
            <w:r/>
            <w:r>
              <w:rPr>
                <w:rFonts w:ascii="Aptos" w:hAnsi="Aptos"/>
                <w:b/>
                <w:color w:val="FFFFFF"/>
                <w:sz w:val="18"/>
              </w:rPr>
              <w:t>Model</w:t>
            </w:r>
          </w:p>
        </w:tc>
        <w:tc>
          <w:tcPr>
            <w:tcW w:type="dxa" w:w="4535"/>
            <w:vAlign w:val="center"/>
            <w:shd w:fill="365F91"/>
          </w:tcPr>
          <w:p>
            <w:pPr>
              <w:spacing w:after="0" w:before="0"/>
            </w:pPr>
            <w:r/>
            <w:r>
              <w:rPr>
                <w:rFonts w:ascii="Aptos" w:hAnsi="Aptos"/>
                <w:b/>
                <w:color w:val="FFFFFF"/>
                <w:sz w:val="18"/>
              </w:rPr>
              <w:t>3-seed Macro-F1 (ortalama ± std)</w:t>
            </w:r>
          </w:p>
        </w:tc>
      </w:tr>
      <w:tr>
        <w:trPr>
          <w:cantSplit/>
        </w:trPr>
        <w:tc>
          <w:tcPr>
            <w:tcW w:type="dxa" w:w="4535"/>
            <w:vAlign w:val="center"/>
          </w:tcPr>
          <w:p>
            <w:pPr>
              <w:spacing w:after="0" w:before="0"/>
            </w:pPr>
            <w:r/>
            <w:r>
              <w:rPr>
                <w:rFonts w:ascii="Aptos" w:hAnsi="Aptos"/>
                <w:b w:val="0"/>
                <w:sz w:val="18"/>
              </w:rPr>
              <w:t>RoBERTa</w:t>
            </w:r>
          </w:p>
        </w:tc>
        <w:tc>
          <w:tcPr>
            <w:tcW w:type="dxa" w:w="4535"/>
            <w:vAlign w:val="center"/>
          </w:tcPr>
          <w:p>
            <w:pPr>
              <w:spacing w:after="0" w:before="0"/>
            </w:pPr>
            <w:r/>
            <w:r>
              <w:rPr>
                <w:rFonts w:ascii="Aptos" w:hAnsi="Aptos"/>
                <w:b w:val="0"/>
                <w:sz w:val="18"/>
              </w:rPr>
              <w:t>0.8728 ± 0.0068</w:t>
            </w:r>
          </w:p>
        </w:tc>
      </w:tr>
      <w:tr>
        <w:trPr>
          <w:cantSplit/>
        </w:trPr>
        <w:tc>
          <w:tcPr>
            <w:tcW w:type="dxa" w:w="4535"/>
            <w:vAlign w:val="center"/>
            <w:shd w:fill="F3F6FA"/>
          </w:tcPr>
          <w:p>
            <w:pPr>
              <w:spacing w:after="0" w:before="0"/>
            </w:pPr>
            <w:r/>
            <w:r>
              <w:rPr>
                <w:rFonts w:ascii="Aptos" w:hAnsi="Aptos"/>
                <w:b w:val="0"/>
                <w:sz w:val="18"/>
              </w:rPr>
              <w:t>Fine-tuned FinBERT</w:t>
            </w:r>
          </w:p>
        </w:tc>
        <w:tc>
          <w:tcPr>
            <w:tcW w:type="dxa" w:w="4535"/>
            <w:vAlign w:val="center"/>
            <w:shd w:fill="F3F6FA"/>
          </w:tcPr>
          <w:p>
            <w:pPr>
              <w:spacing w:after="0" w:before="0"/>
            </w:pPr>
            <w:r/>
            <w:r>
              <w:rPr>
                <w:rFonts w:ascii="Aptos" w:hAnsi="Aptos"/>
                <w:b w:val="0"/>
                <w:sz w:val="18"/>
              </w:rPr>
              <w:t>0.8480 ± 0.0028</w:t>
            </w:r>
          </w:p>
        </w:tc>
      </w:tr>
      <w:tr>
        <w:trPr>
          <w:cantSplit/>
        </w:trPr>
        <w:tc>
          <w:tcPr>
            <w:tcW w:type="dxa" w:w="4535"/>
            <w:vAlign w:val="center"/>
          </w:tcPr>
          <w:p>
            <w:pPr>
              <w:spacing w:after="0" w:before="0"/>
            </w:pPr>
            <w:r/>
            <w:r>
              <w:rPr>
                <w:rFonts w:ascii="Aptos" w:hAnsi="Aptos"/>
                <w:b w:val="0"/>
                <w:sz w:val="18"/>
              </w:rPr>
              <w:t>BERT</w:t>
            </w:r>
          </w:p>
        </w:tc>
        <w:tc>
          <w:tcPr>
            <w:tcW w:type="dxa" w:w="4535"/>
            <w:vAlign w:val="center"/>
          </w:tcPr>
          <w:p>
            <w:pPr>
              <w:spacing w:after="0" w:before="0"/>
            </w:pPr>
            <w:r/>
            <w:r>
              <w:rPr>
                <w:rFonts w:ascii="Aptos" w:hAnsi="Aptos"/>
                <w:b w:val="0"/>
                <w:sz w:val="18"/>
              </w:rPr>
              <w:t>0.8396 ± 0.0023</w:t>
            </w:r>
          </w:p>
        </w:tc>
      </w:tr>
      <w:tr>
        <w:trPr>
          <w:cantSplit/>
        </w:trPr>
        <w:tc>
          <w:tcPr>
            <w:tcW w:type="dxa" w:w="4535"/>
            <w:vAlign w:val="center"/>
            <w:shd w:fill="F3F6FA"/>
          </w:tcPr>
          <w:p>
            <w:pPr>
              <w:spacing w:after="0" w:before="0"/>
            </w:pPr>
            <w:r/>
            <w:r>
              <w:rPr>
                <w:rFonts w:ascii="Aptos" w:hAnsi="Aptos"/>
                <w:b w:val="0"/>
                <w:sz w:val="18"/>
              </w:rPr>
              <w:t>DistilBERT</w:t>
            </w:r>
          </w:p>
        </w:tc>
        <w:tc>
          <w:tcPr>
            <w:tcW w:type="dxa" w:w="4535"/>
            <w:vAlign w:val="center"/>
            <w:shd w:fill="F3F6FA"/>
          </w:tcPr>
          <w:p>
            <w:pPr>
              <w:spacing w:after="0" w:before="0"/>
            </w:pPr>
            <w:r/>
            <w:r>
              <w:rPr>
                <w:rFonts w:ascii="Aptos" w:hAnsi="Aptos"/>
                <w:b w:val="0"/>
                <w:sz w:val="18"/>
              </w:rPr>
              <w:t>0.8231 ± 0.0028</w:t>
            </w:r>
          </w:p>
        </w:tc>
      </w:tr>
    </w:tbl>
    <w:p>
      <w:pPr>
        <w:spacing w:after="0"/>
      </w:pPr>
    </w:p>
    <w:p>
      <w:r>
        <w:t>RoBERTa’nın üstünlüğü farklı seed’lerde de genel olarak korundu. Böylece tek bir koşuya bağlı bir sonuç yerine daha güvenilir bir model sıralaması elde ettik.</w:t>
      </w:r>
    </w:p>
    <w:p>
      <w:pPr>
        <w:pStyle w:val="SavunmaCümlesi"/>
      </w:pPr>
      <w:r>
        <w:rPr>
          <w:b/>
        </w:rPr>
        <w:t xml:space="preserve">Savunmada kısa anlatım: </w:t>
      </w:r>
      <w:r>
        <w:t>“Tek seed’e güvenmemek için üç farklı seed kullandık. Ortalama sonuçlarda da RoBERTa en yüksek Macro-F1’i verdi; bu nedenle sonuç tek koşuluk bir tesadüf değildi.”</w:t>
      </w:r>
    </w:p>
    <w:p>
      <w:pPr>
        <w:pStyle w:val="Heading1"/>
        <w:keepNext/>
        <w:spacing w:before="160" w:after="80"/>
      </w:pPr>
      <w:r>
        <w:t>6. İstatistiksel anlamlılık testlerini neden yaptık?</w:t>
      </w:r>
    </w:p>
    <w:p>
      <w:r>
        <w:t>Bir modelin 0.8728, diğerinin 0.8480 alması tabloda fark olduğunu gösterir; fakat bu farkın örnekleme kaynaklı olup olmadığını ayrıca test etmek gerekir. Bu nedenle prediction düzeyinde istatistiksel karşılaştırmalar yaptık. Bazı seed’lerde RoBERTa ile FinBERT arasındaki fark istatistiksel olarak anlamlı çıktı.</w:t>
      </w:r>
    </w:p>
    <w:p>
      <w:r>
        <w:t>Bu bölümün amacı “birkaç puan daha yüksek” demekten öteye geçmek ve gözlenen farkın sistematik olduğuna dair ek kanıt sağlamaktı. Devam çalışmasında bu pipeline’ın tüm prediction dosyaları ve seed’ler açısından daha temiz şekilde yeniden kurulması planlanıyor.</w:t>
      </w:r>
    </w:p>
    <w:p>
      <w:pPr>
        <w:pStyle w:val="Heading1"/>
        <w:keepNext/>
        <w:spacing w:before="160" w:after="80"/>
      </w:pPr>
      <w:r>
        <w:t>7. Sonra neden dış test setlerine geçtik?</w:t>
      </w:r>
    </w:p>
    <w:p>
      <w:r>
        <w:t>Buraya kadar yapılanlar klasik bir supervised learning değerlendirmesiydi: aynı genel veri dağılımında train, validation ve test. Fakat gerçek hayatta model sürekli aynı kaynaktan gelen metinleri görmez. Bu nedenle asıl soru şuna dönüştü: İç testte iyi olan modeller, hiç eğitim görmedikleri farklı finansal kaynaklarda da iyi kalıyor mu?</w:t>
      </w:r>
    </w:p>
    <w:tbl>
      <w:tblPr>
        <w:tblStyle w:val="TableGrid"/>
        <w:tblW w:type="auto" w:w="0"/>
        <w:jc w:val="center"/>
        <w:tblLook w:firstColumn="1" w:firstRow="1" w:lastColumn="0" w:lastRow="0" w:noHBand="0" w:noVBand="1" w:val="04A0"/>
      </w:tblPr>
      <w:tblGrid>
        <w:gridCol w:w="2493"/>
        <w:gridCol w:w="2493"/>
        <w:gridCol w:w="2493"/>
        <w:gridCol w:w="2493"/>
      </w:tblGrid>
      <w:tr>
        <w:trPr>
          <w:cantSplit/>
        </w:trPr>
        <w:tc>
          <w:tcPr>
            <w:tcW w:type="dxa" w:w="2268"/>
            <w:vAlign w:val="center"/>
            <w:shd w:fill="365F91"/>
          </w:tcPr>
          <w:p>
            <w:pPr>
              <w:spacing w:after="0" w:before="0"/>
            </w:pPr>
            <w:r/>
            <w:r>
              <w:rPr>
                <w:rFonts w:ascii="Aptos" w:hAnsi="Aptos"/>
                <w:b/>
                <w:color w:val="FFFFFF"/>
                <w:sz w:val="18"/>
              </w:rPr>
              <w:t>Dış veri seti</w:t>
            </w:r>
          </w:p>
        </w:tc>
        <w:tc>
          <w:tcPr>
            <w:tcW w:type="dxa" w:w="1701"/>
            <w:vAlign w:val="center"/>
            <w:shd w:fill="365F91"/>
          </w:tcPr>
          <w:p>
            <w:pPr>
              <w:spacing w:after="0" w:before="0"/>
            </w:pPr>
            <w:r/>
            <w:r>
              <w:rPr>
                <w:rFonts w:ascii="Aptos" w:hAnsi="Aptos"/>
                <w:b/>
                <w:color w:val="FFFFFF"/>
                <w:sz w:val="18"/>
              </w:rPr>
              <w:t>Yaklaşık büyüklük</w:t>
            </w:r>
          </w:p>
        </w:tc>
        <w:tc>
          <w:tcPr>
            <w:tcW w:type="dxa" w:w="3402"/>
            <w:vAlign w:val="center"/>
            <w:shd w:fill="365F91"/>
          </w:tcPr>
          <w:p>
            <w:pPr>
              <w:spacing w:after="0" w:before="0"/>
            </w:pPr>
            <w:r/>
            <w:r>
              <w:rPr>
                <w:rFonts w:ascii="Aptos" w:hAnsi="Aptos"/>
                <w:b/>
                <w:color w:val="FFFFFF"/>
                <w:sz w:val="18"/>
              </w:rPr>
              <w:t>Etiket durumu</w:t>
            </w:r>
          </w:p>
        </w:tc>
        <w:tc>
          <w:tcPr>
            <w:tcW w:type="dxa" w:w="1701"/>
            <w:vAlign w:val="center"/>
            <w:shd w:fill="365F91"/>
          </w:tcPr>
          <w:p>
            <w:pPr>
              <w:spacing w:after="0" w:before="0"/>
            </w:pPr>
            <w:r/>
            <w:r>
              <w:rPr>
                <w:rFonts w:ascii="Aptos" w:hAnsi="Aptos"/>
                <w:b/>
                <w:color w:val="FFFFFF"/>
                <w:sz w:val="18"/>
              </w:rPr>
              <w:t>Train’e girdi mi?</w:t>
            </w:r>
          </w:p>
        </w:tc>
      </w:tr>
      <w:tr>
        <w:trPr>
          <w:cantSplit/>
        </w:trPr>
        <w:tc>
          <w:tcPr>
            <w:tcW w:type="dxa" w:w="2268"/>
            <w:vAlign w:val="center"/>
          </w:tcPr>
          <w:p>
            <w:pPr>
              <w:spacing w:after="0" w:before="0"/>
            </w:pPr>
            <w:r/>
            <w:r>
              <w:rPr>
                <w:rFonts w:ascii="Aptos" w:hAnsi="Aptos"/>
                <w:b w:val="0"/>
                <w:sz w:val="18"/>
              </w:rPr>
              <w:t>S&amp;P 500</w:t>
            </w:r>
          </w:p>
        </w:tc>
        <w:tc>
          <w:tcPr>
            <w:tcW w:type="dxa" w:w="1701"/>
            <w:vAlign w:val="center"/>
          </w:tcPr>
          <w:p>
            <w:pPr>
              <w:spacing w:after="0" w:before="0"/>
            </w:pPr>
            <w:r/>
            <w:r>
              <w:rPr>
                <w:rFonts w:ascii="Aptos" w:hAnsi="Aptos"/>
                <w:b w:val="0"/>
                <w:sz w:val="18"/>
              </w:rPr>
              <w:t>1.060</w:t>
            </w:r>
          </w:p>
        </w:tc>
        <w:tc>
          <w:tcPr>
            <w:tcW w:type="dxa" w:w="3402"/>
            <w:vAlign w:val="center"/>
          </w:tcPr>
          <w:p>
            <w:pPr>
              <w:spacing w:after="0" w:before="0"/>
            </w:pPr>
            <w:r/>
            <w:r>
              <w:rPr>
                <w:rFonts w:ascii="Aptos" w:hAnsi="Aptos"/>
                <w:b w:val="0"/>
                <w:sz w:val="18"/>
              </w:rPr>
              <w:t>LLM ile oluşturulan sentiment etiketleri</w:t>
            </w:r>
          </w:p>
        </w:tc>
        <w:tc>
          <w:tcPr>
            <w:tcW w:type="dxa" w:w="1701"/>
            <w:vAlign w:val="center"/>
          </w:tcPr>
          <w:p>
            <w:pPr>
              <w:spacing w:after="0" w:before="0"/>
            </w:pPr>
            <w:r/>
            <w:r>
              <w:rPr>
                <w:rFonts w:ascii="Aptos" w:hAnsi="Aptos"/>
                <w:b w:val="0"/>
                <w:sz w:val="18"/>
              </w:rPr>
              <w:t>Hayır</w:t>
            </w:r>
          </w:p>
        </w:tc>
      </w:tr>
      <w:tr>
        <w:trPr>
          <w:cantSplit/>
        </w:trPr>
        <w:tc>
          <w:tcPr>
            <w:tcW w:type="dxa" w:w="2268"/>
            <w:vAlign w:val="center"/>
            <w:shd w:fill="F3F6FA"/>
          </w:tcPr>
          <w:p>
            <w:pPr>
              <w:spacing w:after="0" w:before="0"/>
            </w:pPr>
            <w:r/>
            <w:r>
              <w:rPr>
                <w:rFonts w:ascii="Aptos" w:hAnsi="Aptos"/>
                <w:b w:val="0"/>
                <w:sz w:val="18"/>
              </w:rPr>
              <w:t>Reuters</w:t>
            </w:r>
          </w:p>
        </w:tc>
        <w:tc>
          <w:tcPr>
            <w:tcW w:type="dxa" w:w="1701"/>
            <w:vAlign w:val="center"/>
            <w:shd w:fill="F3F6FA"/>
          </w:tcPr>
          <w:p>
            <w:pPr>
              <w:spacing w:after="0" w:before="0"/>
            </w:pPr>
            <w:r/>
            <w:r>
              <w:rPr>
                <w:rFonts w:ascii="Aptos" w:hAnsi="Aptos"/>
                <w:b w:val="0"/>
                <w:sz w:val="18"/>
              </w:rPr>
              <w:t>5.000</w:t>
            </w:r>
          </w:p>
        </w:tc>
        <w:tc>
          <w:tcPr>
            <w:tcW w:type="dxa" w:w="3402"/>
            <w:vAlign w:val="center"/>
            <w:shd w:fill="F3F6FA"/>
          </w:tcPr>
          <w:p>
            <w:pPr>
              <w:spacing w:after="0" w:before="0"/>
            </w:pPr>
            <w:r/>
            <w:r>
              <w:rPr>
                <w:rFonts w:ascii="Aptos" w:hAnsi="Aptos"/>
                <w:b w:val="0"/>
                <w:sz w:val="18"/>
              </w:rPr>
              <w:t>LLM ile oluşturulan sentiment etiketleri</w:t>
            </w:r>
          </w:p>
        </w:tc>
        <w:tc>
          <w:tcPr>
            <w:tcW w:type="dxa" w:w="1701"/>
            <w:vAlign w:val="center"/>
            <w:shd w:fill="F3F6FA"/>
          </w:tcPr>
          <w:p>
            <w:pPr>
              <w:spacing w:after="0" w:before="0"/>
            </w:pPr>
            <w:r/>
            <w:r>
              <w:rPr>
                <w:rFonts w:ascii="Aptos" w:hAnsi="Aptos"/>
                <w:b w:val="0"/>
                <w:sz w:val="18"/>
              </w:rPr>
              <w:t>Hayır</w:t>
            </w:r>
          </w:p>
        </w:tc>
      </w:tr>
      <w:tr>
        <w:trPr>
          <w:cantSplit/>
        </w:trPr>
        <w:tc>
          <w:tcPr>
            <w:tcW w:type="dxa" w:w="2268"/>
            <w:vAlign w:val="center"/>
          </w:tcPr>
          <w:p>
            <w:pPr>
              <w:spacing w:after="0" w:before="0"/>
            </w:pPr>
            <w:r/>
            <w:r>
              <w:rPr>
                <w:rFonts w:ascii="Aptos" w:hAnsi="Aptos"/>
                <w:b w:val="0"/>
                <w:sz w:val="18"/>
              </w:rPr>
              <w:t>Synthetic</w:t>
            </w:r>
          </w:p>
        </w:tc>
        <w:tc>
          <w:tcPr>
            <w:tcW w:type="dxa" w:w="1701"/>
            <w:vAlign w:val="center"/>
          </w:tcPr>
          <w:p>
            <w:pPr>
              <w:spacing w:after="0" w:before="0"/>
            </w:pPr>
            <w:r/>
            <w:r>
              <w:rPr>
                <w:rFonts w:ascii="Aptos" w:hAnsi="Aptos"/>
                <w:b w:val="0"/>
                <w:sz w:val="18"/>
              </w:rPr>
              <w:t>3.000</w:t>
            </w:r>
          </w:p>
        </w:tc>
        <w:tc>
          <w:tcPr>
            <w:tcW w:type="dxa" w:w="3402"/>
            <w:vAlign w:val="center"/>
          </w:tcPr>
          <w:p>
            <w:pPr>
              <w:spacing w:after="0" w:before="0"/>
            </w:pPr>
            <w:r/>
            <w:r>
              <w:rPr>
                <w:rFonts w:ascii="Aptos" w:hAnsi="Aptos"/>
                <w:b w:val="0"/>
                <w:sz w:val="18"/>
              </w:rPr>
              <w:t>Etiket koşullu sentetik üretim</w:t>
            </w:r>
          </w:p>
        </w:tc>
        <w:tc>
          <w:tcPr>
            <w:tcW w:type="dxa" w:w="1701"/>
            <w:vAlign w:val="center"/>
          </w:tcPr>
          <w:p>
            <w:pPr>
              <w:spacing w:after="0" w:before="0"/>
            </w:pPr>
            <w:r/>
            <w:r>
              <w:rPr>
                <w:rFonts w:ascii="Aptos" w:hAnsi="Aptos"/>
                <w:b w:val="0"/>
                <w:sz w:val="18"/>
              </w:rPr>
              <w:t>Hayır</w:t>
            </w:r>
          </w:p>
        </w:tc>
      </w:tr>
    </w:tbl>
    <w:p>
      <w:pPr>
        <w:spacing w:after="0"/>
      </w:pPr>
    </w:p>
    <w:p>
      <w:r>
        <w:t>En kritik ayrım: S&amp;P, Reuters ve sentetik veri setleri eğitim amacıyla kullanılmadı. Bunlar yalnızca external evaluation/test için kullanıldı. Böylece modelin görülmemiş dağılımlardaki davranışını değerlendirmeye çalıştık.</w:t>
      </w:r>
    </w:p>
    <w:p>
      <w:pPr>
        <w:pStyle w:val="SavunmaCümlesi"/>
      </w:pPr>
      <w:r>
        <w:rPr>
          <w:b/>
        </w:rPr>
        <w:t xml:space="preserve">Savunmada kısa anlatım: </w:t>
      </w:r>
      <w:r>
        <w:t>“Eğitim verimiz hazır etiketli Twitter ve PhraseBank’ti. S&amp;P, Reuters ve sentetik setler eğitime hiç girmedi; yalnızca dış genelleme testi olarak kullanıldı.”</w:t>
      </w:r>
    </w:p>
    <w:p>
      <w:pPr>
        <w:pStyle w:val="Heading1"/>
        <w:keepNext/>
        <w:pageBreakBefore/>
        <w:spacing w:before="160" w:after="80"/>
      </w:pPr>
      <w:r>
        <w:t>8. S&amp;P 500 dış testinde ne gördük?</w:t>
      </w:r>
    </w:p>
    <w:p>
      <w:r>
        <w:t>İlk dış değerlendirmede S&amp;P 500 haberlarından oluşturulan 1.060 örneklik set kullanıldı. Amaç, ana eğitim dağılımından farklı fakat yine finans haberleri bağlamında olan bir kaynakta model sıralamasının korunup korunmadığını görmekti.</w:t>
      </w:r>
    </w:p>
    <w:tbl>
      <w:tblPr>
        <w:tblStyle w:val="TableGrid"/>
        <w:tblW w:type="auto" w:w="0"/>
        <w:jc w:val="center"/>
        <w:tblLook w:firstColumn="1" w:firstRow="1" w:lastColumn="0" w:lastRow="0" w:noHBand="0" w:noVBand="1" w:val="04A0"/>
      </w:tblPr>
      <w:tblGrid>
        <w:gridCol w:w="4986"/>
        <w:gridCol w:w="4986"/>
      </w:tblGrid>
      <w:tr>
        <w:trPr>
          <w:cantSplit/>
        </w:trPr>
        <w:tc>
          <w:tcPr>
            <w:tcW w:type="dxa" w:w="5102"/>
            <w:vAlign w:val="center"/>
            <w:shd w:fill="365F91"/>
          </w:tcPr>
          <w:p>
            <w:pPr>
              <w:spacing w:after="0" w:before="0"/>
            </w:pPr>
            <w:r/>
            <w:r>
              <w:rPr>
                <w:rFonts w:ascii="Aptos" w:hAnsi="Aptos"/>
                <w:b/>
                <w:color w:val="FFFFFF"/>
                <w:sz w:val="18"/>
              </w:rPr>
              <w:t>Model</w:t>
            </w:r>
          </w:p>
        </w:tc>
        <w:tc>
          <w:tcPr>
            <w:tcW w:type="dxa" w:w="3969"/>
            <w:vAlign w:val="center"/>
            <w:shd w:fill="365F91"/>
          </w:tcPr>
          <w:p>
            <w:pPr>
              <w:spacing w:after="0" w:before="0"/>
            </w:pPr>
            <w:r/>
            <w:r>
              <w:rPr>
                <w:rFonts w:ascii="Aptos" w:hAnsi="Aptos"/>
                <w:b/>
                <w:color w:val="FFFFFF"/>
                <w:sz w:val="18"/>
              </w:rPr>
              <w:t>S&amp;P Macro-F1</w:t>
            </w:r>
          </w:p>
        </w:tc>
      </w:tr>
      <w:tr>
        <w:trPr>
          <w:cantSplit/>
        </w:trPr>
        <w:tc>
          <w:tcPr>
            <w:tcW w:type="dxa" w:w="5102"/>
            <w:vAlign w:val="center"/>
          </w:tcPr>
          <w:p>
            <w:pPr>
              <w:spacing w:after="0" w:before="0"/>
            </w:pPr>
            <w:r/>
            <w:r>
              <w:rPr>
                <w:rFonts w:ascii="Aptos" w:hAnsi="Aptos"/>
                <w:b w:val="0"/>
                <w:sz w:val="18"/>
              </w:rPr>
              <w:t>RoBERTa</w:t>
            </w:r>
          </w:p>
        </w:tc>
        <w:tc>
          <w:tcPr>
            <w:tcW w:type="dxa" w:w="3969"/>
            <w:vAlign w:val="center"/>
          </w:tcPr>
          <w:p>
            <w:pPr>
              <w:spacing w:after="0" w:before="0"/>
            </w:pPr>
            <w:r/>
            <w:r>
              <w:rPr>
                <w:rFonts w:ascii="Aptos" w:hAnsi="Aptos"/>
                <w:b w:val="0"/>
                <w:sz w:val="18"/>
              </w:rPr>
              <w:t>0.8145</w:t>
            </w:r>
          </w:p>
        </w:tc>
      </w:tr>
      <w:tr>
        <w:trPr>
          <w:cantSplit/>
        </w:trPr>
        <w:tc>
          <w:tcPr>
            <w:tcW w:type="dxa" w:w="5102"/>
            <w:vAlign w:val="center"/>
            <w:shd w:fill="F3F6FA"/>
          </w:tcPr>
          <w:p>
            <w:pPr>
              <w:spacing w:after="0" w:before="0"/>
            </w:pPr>
            <w:r/>
            <w:r>
              <w:rPr>
                <w:rFonts w:ascii="Aptos" w:hAnsi="Aptos"/>
                <w:b w:val="0"/>
                <w:sz w:val="18"/>
              </w:rPr>
              <w:t>Fine-tuned FinBERT</w:t>
            </w:r>
          </w:p>
        </w:tc>
        <w:tc>
          <w:tcPr>
            <w:tcW w:type="dxa" w:w="3969"/>
            <w:vAlign w:val="center"/>
            <w:shd w:fill="F3F6FA"/>
          </w:tcPr>
          <w:p>
            <w:pPr>
              <w:spacing w:after="0" w:before="0"/>
            </w:pPr>
            <w:r/>
            <w:r>
              <w:rPr>
                <w:rFonts w:ascii="Aptos" w:hAnsi="Aptos"/>
                <w:b w:val="0"/>
                <w:sz w:val="18"/>
              </w:rPr>
              <w:t>0.7723</w:t>
            </w:r>
          </w:p>
        </w:tc>
      </w:tr>
      <w:tr>
        <w:trPr>
          <w:cantSplit/>
        </w:trPr>
        <w:tc>
          <w:tcPr>
            <w:tcW w:type="dxa" w:w="5102"/>
            <w:vAlign w:val="center"/>
          </w:tcPr>
          <w:p>
            <w:pPr>
              <w:spacing w:after="0" w:before="0"/>
            </w:pPr>
            <w:r/>
            <w:r>
              <w:rPr>
                <w:rFonts w:ascii="Aptos" w:hAnsi="Aptos"/>
                <w:b w:val="0"/>
                <w:sz w:val="18"/>
              </w:rPr>
              <w:t>BERT</w:t>
            </w:r>
          </w:p>
        </w:tc>
        <w:tc>
          <w:tcPr>
            <w:tcW w:type="dxa" w:w="3969"/>
            <w:vAlign w:val="center"/>
          </w:tcPr>
          <w:p>
            <w:pPr>
              <w:spacing w:after="0" w:before="0"/>
            </w:pPr>
            <w:r/>
            <w:r>
              <w:rPr>
                <w:rFonts w:ascii="Aptos" w:hAnsi="Aptos"/>
                <w:b w:val="0"/>
                <w:sz w:val="18"/>
              </w:rPr>
              <w:t>0.7549</w:t>
            </w:r>
          </w:p>
        </w:tc>
      </w:tr>
      <w:tr>
        <w:trPr>
          <w:cantSplit/>
        </w:trPr>
        <w:tc>
          <w:tcPr>
            <w:tcW w:type="dxa" w:w="5102"/>
            <w:vAlign w:val="center"/>
            <w:shd w:fill="F3F6FA"/>
          </w:tcPr>
          <w:p>
            <w:pPr>
              <w:spacing w:after="0" w:before="0"/>
            </w:pPr>
            <w:r/>
            <w:r>
              <w:rPr>
                <w:rFonts w:ascii="Aptos" w:hAnsi="Aptos"/>
                <w:b w:val="0"/>
                <w:sz w:val="18"/>
              </w:rPr>
              <w:t>Original FinBERT</w:t>
            </w:r>
          </w:p>
        </w:tc>
        <w:tc>
          <w:tcPr>
            <w:tcW w:type="dxa" w:w="3969"/>
            <w:vAlign w:val="center"/>
            <w:shd w:fill="F3F6FA"/>
          </w:tcPr>
          <w:p>
            <w:pPr>
              <w:spacing w:after="0" w:before="0"/>
            </w:pPr>
            <w:r/>
            <w:r>
              <w:rPr>
                <w:rFonts w:ascii="Aptos" w:hAnsi="Aptos"/>
                <w:b w:val="0"/>
                <w:sz w:val="18"/>
              </w:rPr>
              <w:t>0.7521</w:t>
            </w:r>
          </w:p>
        </w:tc>
      </w:tr>
      <w:tr>
        <w:trPr>
          <w:cantSplit/>
        </w:trPr>
        <w:tc>
          <w:tcPr>
            <w:tcW w:type="dxa" w:w="5102"/>
            <w:vAlign w:val="center"/>
          </w:tcPr>
          <w:p>
            <w:pPr>
              <w:spacing w:after="0" w:before="0"/>
            </w:pPr>
            <w:r/>
            <w:r>
              <w:rPr>
                <w:rFonts w:ascii="Aptos" w:hAnsi="Aptos"/>
                <w:b w:val="0"/>
                <w:sz w:val="18"/>
              </w:rPr>
              <w:t>DistilBERT</w:t>
            </w:r>
          </w:p>
        </w:tc>
        <w:tc>
          <w:tcPr>
            <w:tcW w:type="dxa" w:w="3969"/>
            <w:vAlign w:val="center"/>
          </w:tcPr>
          <w:p>
            <w:pPr>
              <w:spacing w:after="0" w:before="0"/>
            </w:pPr>
            <w:r/>
            <w:r>
              <w:rPr>
                <w:rFonts w:ascii="Aptos" w:hAnsi="Aptos"/>
                <w:b w:val="0"/>
                <w:sz w:val="18"/>
              </w:rPr>
              <w:t>0.7510</w:t>
            </w:r>
          </w:p>
        </w:tc>
      </w:tr>
    </w:tbl>
    <w:p>
      <w:pPr>
        <w:spacing w:after="0"/>
      </w:pPr>
    </w:p>
    <w:p>
      <w:r>
        <w:t>RoBERTa burada da en yüksek skoru verdi. Bu, RoBERTa’nın yalnızca iç Twitter test setine aşırı uyum sağlamadığını; yakın fakat farklı bir finansal haber dağılımında da güçlü kaldığını gösterdi. Buna rağmen iç testte yaklaşık 0.87 olan performansın S&amp;P’de yaklaşık 0.81’e düşmesi, veri kaynağı değişiminin performans üzerinde etkili olduğuna dair ilk sinyali verdi.</w:t>
      </w:r>
    </w:p>
    <w:p>
      <w:pPr>
        <w:pStyle w:val="SavunmaCümlesi"/>
      </w:pPr>
      <w:r>
        <w:rPr>
          <w:b/>
        </w:rPr>
        <w:t xml:space="preserve">Savunmada kısa anlatım: </w:t>
      </w:r>
      <w:r>
        <w:t>“S&amp;P’de de RoBERTa birinci kaldı; ancak skorların iç teste göre düşmesi domain shift’in etkisini göstermeye başladı.”</w:t>
      </w:r>
    </w:p>
    <w:p>
      <w:pPr>
        <w:pStyle w:val="Heading1"/>
        <w:keepNext/>
        <w:spacing w:before="160" w:after="80"/>
      </w:pPr>
      <w:r>
        <w:t>9. Reuters testinde neden işler değişti?</w:t>
      </w:r>
    </w:p>
    <w:p>
      <w:r>
        <w:t>Daha farklı bir haber dağılımı olan Reuters üzerinde modelleri test ettiğimizde model sıralaması belirgin biçimde değişti. Tezin en ilginç bulgularından biri burada ortaya çıktı.</w:t>
      </w:r>
    </w:p>
    <w:tbl>
      <w:tblPr>
        <w:tblStyle w:val="TableGrid"/>
        <w:tblW w:type="auto" w:w="0"/>
        <w:jc w:val="center"/>
        <w:tblLook w:firstColumn="1" w:firstRow="1" w:lastColumn="0" w:lastRow="0" w:noHBand="0" w:noVBand="1" w:val="04A0"/>
      </w:tblPr>
      <w:tblGrid>
        <w:gridCol w:w="4986"/>
        <w:gridCol w:w="4986"/>
      </w:tblGrid>
      <w:tr>
        <w:trPr>
          <w:cantSplit/>
        </w:trPr>
        <w:tc>
          <w:tcPr>
            <w:tcW w:type="dxa" w:w="5102"/>
            <w:vAlign w:val="center"/>
            <w:shd w:fill="365F91"/>
          </w:tcPr>
          <w:p>
            <w:pPr>
              <w:spacing w:after="0" w:before="0"/>
            </w:pPr>
            <w:r/>
            <w:r>
              <w:rPr>
                <w:rFonts w:ascii="Aptos" w:hAnsi="Aptos"/>
                <w:b/>
                <w:color w:val="FFFFFF"/>
                <w:sz w:val="18"/>
              </w:rPr>
              <w:t>Model</w:t>
            </w:r>
          </w:p>
        </w:tc>
        <w:tc>
          <w:tcPr>
            <w:tcW w:type="dxa" w:w="3969"/>
            <w:vAlign w:val="center"/>
            <w:shd w:fill="365F91"/>
          </w:tcPr>
          <w:p>
            <w:pPr>
              <w:spacing w:after="0" w:before="0"/>
            </w:pPr>
            <w:r/>
            <w:r>
              <w:rPr>
                <w:rFonts w:ascii="Aptos" w:hAnsi="Aptos"/>
                <w:b/>
                <w:color w:val="FFFFFF"/>
                <w:sz w:val="18"/>
              </w:rPr>
              <w:t>Reuters Macro-F1</w:t>
            </w:r>
          </w:p>
        </w:tc>
      </w:tr>
      <w:tr>
        <w:trPr>
          <w:cantSplit/>
        </w:trPr>
        <w:tc>
          <w:tcPr>
            <w:tcW w:type="dxa" w:w="5102"/>
            <w:vAlign w:val="center"/>
          </w:tcPr>
          <w:p>
            <w:pPr>
              <w:spacing w:after="0" w:before="0"/>
            </w:pPr>
            <w:r/>
            <w:r>
              <w:rPr>
                <w:rFonts w:ascii="Aptos" w:hAnsi="Aptos"/>
                <w:b w:val="0"/>
                <w:sz w:val="18"/>
              </w:rPr>
              <w:t>Original FinBERT</w:t>
            </w:r>
          </w:p>
        </w:tc>
        <w:tc>
          <w:tcPr>
            <w:tcW w:type="dxa" w:w="3969"/>
            <w:vAlign w:val="center"/>
          </w:tcPr>
          <w:p>
            <w:pPr>
              <w:spacing w:after="0" w:before="0"/>
            </w:pPr>
            <w:r/>
            <w:r>
              <w:rPr>
                <w:rFonts w:ascii="Aptos" w:hAnsi="Aptos"/>
                <w:b w:val="0"/>
                <w:sz w:val="18"/>
              </w:rPr>
              <w:t>0.6866</w:t>
            </w:r>
          </w:p>
        </w:tc>
      </w:tr>
      <w:tr>
        <w:trPr>
          <w:cantSplit/>
        </w:trPr>
        <w:tc>
          <w:tcPr>
            <w:tcW w:type="dxa" w:w="5102"/>
            <w:vAlign w:val="center"/>
            <w:shd w:fill="F3F6FA"/>
          </w:tcPr>
          <w:p>
            <w:pPr>
              <w:spacing w:after="0" w:before="0"/>
            </w:pPr>
            <w:r/>
            <w:r>
              <w:rPr>
                <w:rFonts w:ascii="Aptos" w:hAnsi="Aptos"/>
                <w:b w:val="0"/>
                <w:sz w:val="18"/>
              </w:rPr>
              <w:t>RoBERTa</w:t>
            </w:r>
          </w:p>
        </w:tc>
        <w:tc>
          <w:tcPr>
            <w:tcW w:type="dxa" w:w="3969"/>
            <w:vAlign w:val="center"/>
            <w:shd w:fill="F3F6FA"/>
          </w:tcPr>
          <w:p>
            <w:pPr>
              <w:spacing w:after="0" w:before="0"/>
            </w:pPr>
            <w:r/>
            <w:r>
              <w:rPr>
                <w:rFonts w:ascii="Aptos" w:hAnsi="Aptos"/>
                <w:b w:val="0"/>
                <w:sz w:val="18"/>
              </w:rPr>
              <w:t>0.6388</w:t>
            </w:r>
          </w:p>
        </w:tc>
      </w:tr>
      <w:tr>
        <w:trPr>
          <w:cantSplit/>
        </w:trPr>
        <w:tc>
          <w:tcPr>
            <w:tcW w:type="dxa" w:w="5102"/>
            <w:vAlign w:val="center"/>
          </w:tcPr>
          <w:p>
            <w:pPr>
              <w:spacing w:after="0" w:before="0"/>
            </w:pPr>
            <w:r/>
            <w:r>
              <w:rPr>
                <w:rFonts w:ascii="Aptos" w:hAnsi="Aptos"/>
                <w:b w:val="0"/>
                <w:sz w:val="18"/>
              </w:rPr>
              <w:t>BERT</w:t>
            </w:r>
          </w:p>
        </w:tc>
        <w:tc>
          <w:tcPr>
            <w:tcW w:type="dxa" w:w="3969"/>
            <w:vAlign w:val="center"/>
          </w:tcPr>
          <w:p>
            <w:pPr>
              <w:spacing w:after="0" w:before="0"/>
            </w:pPr>
            <w:r/>
            <w:r>
              <w:rPr>
                <w:rFonts w:ascii="Aptos" w:hAnsi="Aptos"/>
                <w:b w:val="0"/>
                <w:sz w:val="18"/>
              </w:rPr>
              <w:t>0.6131</w:t>
            </w:r>
          </w:p>
        </w:tc>
      </w:tr>
      <w:tr>
        <w:trPr>
          <w:cantSplit/>
        </w:trPr>
        <w:tc>
          <w:tcPr>
            <w:tcW w:type="dxa" w:w="5102"/>
            <w:vAlign w:val="center"/>
            <w:shd w:fill="F3F6FA"/>
          </w:tcPr>
          <w:p>
            <w:pPr>
              <w:spacing w:after="0" w:before="0"/>
            </w:pPr>
            <w:r/>
            <w:r>
              <w:rPr>
                <w:rFonts w:ascii="Aptos" w:hAnsi="Aptos"/>
                <w:b w:val="0"/>
                <w:sz w:val="18"/>
              </w:rPr>
              <w:t>Fine-tuned FinBERT</w:t>
            </w:r>
          </w:p>
        </w:tc>
        <w:tc>
          <w:tcPr>
            <w:tcW w:type="dxa" w:w="3969"/>
            <w:vAlign w:val="center"/>
            <w:shd w:fill="F3F6FA"/>
          </w:tcPr>
          <w:p>
            <w:pPr>
              <w:spacing w:after="0" w:before="0"/>
            </w:pPr>
            <w:r/>
            <w:r>
              <w:rPr>
                <w:rFonts w:ascii="Aptos" w:hAnsi="Aptos"/>
                <w:b w:val="0"/>
                <w:sz w:val="18"/>
              </w:rPr>
              <w:t>0.6101</w:t>
            </w:r>
          </w:p>
        </w:tc>
      </w:tr>
      <w:tr>
        <w:trPr>
          <w:cantSplit/>
        </w:trPr>
        <w:tc>
          <w:tcPr>
            <w:tcW w:type="dxa" w:w="5102"/>
            <w:vAlign w:val="center"/>
          </w:tcPr>
          <w:p>
            <w:pPr>
              <w:spacing w:after="0" w:before="0"/>
            </w:pPr>
            <w:r/>
            <w:r>
              <w:rPr>
                <w:rFonts w:ascii="Aptos" w:hAnsi="Aptos"/>
                <w:b w:val="0"/>
                <w:sz w:val="18"/>
              </w:rPr>
              <w:t>DistilBERT</w:t>
            </w:r>
          </w:p>
        </w:tc>
        <w:tc>
          <w:tcPr>
            <w:tcW w:type="dxa" w:w="3969"/>
            <w:vAlign w:val="center"/>
          </w:tcPr>
          <w:p>
            <w:pPr>
              <w:spacing w:after="0" w:before="0"/>
            </w:pPr>
            <w:r/>
            <w:r>
              <w:rPr>
                <w:rFonts w:ascii="Aptos" w:hAnsi="Aptos"/>
                <w:b w:val="0"/>
                <w:sz w:val="18"/>
              </w:rPr>
              <w:t>0.5869</w:t>
            </w:r>
          </w:p>
        </w:tc>
      </w:tr>
    </w:tbl>
    <w:p>
      <w:pPr>
        <w:spacing w:after="0"/>
      </w:pPr>
    </w:p>
    <w:p>
      <w:r>
        <w:t>İç testte ve S&amp;P’de güçlü olan RoBERTa burada birinci olmadı. Daha önemlisi, hiç fine-tune edilmemiş Original FinBERT 0.6866 ile fine-tuned FinBERT’in 0.6101 sonucunu açık biçimde geçti. Yani fine-tuning FinBERT’i iç dağılımda çok güçlendirmişken, daha uzak bir dış dağılımda bu avantaj tersine döndü.</w:t>
      </w:r>
    </w:p>
    <w:p>
      <w:r>
        <w:t>Bu bulgu bize fine-tuning’in sadece “performans artırma” olarak düşünülmemesi gerektiğini gösterdi. Model hedef veri setine çok iyi adapte olurken, daha genel finansal temsilinin bir kısmını kaybedebilir veya hedef dağılımın etiket kararlarına fazla özelleşebilir. Bu durum domain overfitting, specialization veya catastrophic forgetting gibi kavramlarla tartışılabilir.</w:t>
      </w:r>
    </w:p>
    <w:p>
      <w:pPr>
        <w:pStyle w:val="SavunmaCümlesi"/>
      </w:pPr>
      <w:r>
        <w:rPr>
          <w:b/>
        </w:rPr>
        <w:t xml:space="preserve">Savunmada kısa anlatım: </w:t>
      </w:r>
      <w:r>
        <w:t>“Reuters’ta en iyi model Original FinBERT oldu. Fine-tuned FinBERT’in gerisine düşmesi, fine-tuning’in iç performansı artırırken dış-domain genellemeyi her zaman artırmadığını gösteren en önemli bulgumuzdu.”</w:t>
      </w:r>
    </w:p>
    <w:p>
      <w:pPr>
        <w:pStyle w:val="Heading1"/>
        <w:keepNext/>
        <w:spacing w:before="160" w:after="80"/>
      </w:pPr>
      <w:r>
        <w:t>10. Reuters sonucunu anlamak için sınıf bazında ne yaptık?</w:t>
      </w:r>
    </w:p>
    <w:p>
      <w:r>
        <w:t>Sadece toplam Macro-F1’e bakmak yerine hangi sınıfın bozulduğunu inceledik. Özellikle Neutral sınıfının farklı veri kaynaklarında çok ciddi performans kaybına uğradığı görüldü.</w:t>
      </w:r>
    </w:p>
    <w:tbl>
      <w:tblPr>
        <w:tblStyle w:val="TableGrid"/>
        <w:tblW w:type="auto" w:w="0"/>
        <w:jc w:val="center"/>
        <w:tblLook w:firstColumn="1" w:firstRow="1" w:lastColumn="0" w:lastRow="0" w:noHBand="0" w:noVBand="1" w:val="04A0"/>
      </w:tblPr>
      <w:tblGrid>
        <w:gridCol w:w="4986"/>
        <w:gridCol w:w="4986"/>
      </w:tblGrid>
      <w:tr>
        <w:trPr>
          <w:cantSplit/>
        </w:trPr>
        <w:tc>
          <w:tcPr>
            <w:tcW w:type="dxa" w:w="5102"/>
            <w:vAlign w:val="center"/>
            <w:shd w:fill="365F91"/>
          </w:tcPr>
          <w:p>
            <w:pPr>
              <w:spacing w:after="0" w:before="0"/>
            </w:pPr>
            <w:r/>
            <w:r>
              <w:rPr>
                <w:rFonts w:ascii="Aptos" w:hAnsi="Aptos"/>
                <w:b/>
                <w:color w:val="FFFFFF"/>
                <w:sz w:val="18"/>
              </w:rPr>
              <w:t>Dataset</w:t>
            </w:r>
          </w:p>
        </w:tc>
        <w:tc>
          <w:tcPr>
            <w:tcW w:type="dxa" w:w="3969"/>
            <w:vAlign w:val="center"/>
            <w:shd w:fill="365F91"/>
          </w:tcPr>
          <w:p>
            <w:pPr>
              <w:spacing w:after="0" w:before="0"/>
            </w:pPr>
            <w:r/>
            <w:r>
              <w:rPr>
                <w:rFonts w:ascii="Aptos" w:hAnsi="Aptos"/>
                <w:b/>
                <w:color w:val="FFFFFF"/>
                <w:sz w:val="18"/>
              </w:rPr>
              <w:t>Fine-tuned FinBERT Neutral F1</w:t>
            </w:r>
          </w:p>
        </w:tc>
      </w:tr>
      <w:tr>
        <w:trPr>
          <w:cantSplit/>
        </w:trPr>
        <w:tc>
          <w:tcPr>
            <w:tcW w:type="dxa" w:w="5102"/>
            <w:vAlign w:val="center"/>
          </w:tcPr>
          <w:p>
            <w:pPr>
              <w:spacing w:after="0" w:before="0"/>
            </w:pPr>
            <w:r/>
            <w:r>
              <w:rPr>
                <w:rFonts w:ascii="Aptos" w:hAnsi="Aptos"/>
                <w:b w:val="0"/>
                <w:sz w:val="18"/>
              </w:rPr>
              <w:t>Internal</w:t>
            </w:r>
          </w:p>
        </w:tc>
        <w:tc>
          <w:tcPr>
            <w:tcW w:type="dxa" w:w="3969"/>
            <w:vAlign w:val="center"/>
          </w:tcPr>
          <w:p>
            <w:pPr>
              <w:spacing w:after="0" w:before="0"/>
            </w:pPr>
            <w:r/>
            <w:r>
              <w:rPr>
                <w:rFonts w:ascii="Aptos" w:hAnsi="Aptos"/>
                <w:b w:val="0"/>
                <w:sz w:val="18"/>
              </w:rPr>
              <w:t>0.9157</w:t>
            </w:r>
          </w:p>
        </w:tc>
      </w:tr>
      <w:tr>
        <w:trPr>
          <w:cantSplit/>
        </w:trPr>
        <w:tc>
          <w:tcPr>
            <w:tcW w:type="dxa" w:w="5102"/>
            <w:vAlign w:val="center"/>
            <w:shd w:fill="F3F6FA"/>
          </w:tcPr>
          <w:p>
            <w:pPr>
              <w:spacing w:after="0" w:before="0"/>
            </w:pPr>
            <w:r/>
            <w:r>
              <w:rPr>
                <w:rFonts w:ascii="Aptos" w:hAnsi="Aptos"/>
                <w:b w:val="0"/>
                <w:sz w:val="18"/>
              </w:rPr>
              <w:t>S&amp;P</w:t>
            </w:r>
          </w:p>
        </w:tc>
        <w:tc>
          <w:tcPr>
            <w:tcW w:type="dxa" w:w="3969"/>
            <w:vAlign w:val="center"/>
            <w:shd w:fill="F3F6FA"/>
          </w:tcPr>
          <w:p>
            <w:pPr>
              <w:spacing w:after="0" w:before="0"/>
            </w:pPr>
            <w:r/>
            <w:r>
              <w:rPr>
                <w:rFonts w:ascii="Aptos" w:hAnsi="Aptos"/>
                <w:b w:val="0"/>
                <w:sz w:val="18"/>
              </w:rPr>
              <w:t>0.7538</w:t>
            </w:r>
          </w:p>
        </w:tc>
      </w:tr>
      <w:tr>
        <w:trPr>
          <w:cantSplit/>
        </w:trPr>
        <w:tc>
          <w:tcPr>
            <w:tcW w:type="dxa" w:w="5102"/>
            <w:vAlign w:val="center"/>
          </w:tcPr>
          <w:p>
            <w:pPr>
              <w:spacing w:after="0" w:before="0"/>
            </w:pPr>
            <w:r/>
            <w:r>
              <w:rPr>
                <w:rFonts w:ascii="Aptos" w:hAnsi="Aptos"/>
                <w:b w:val="0"/>
                <w:sz w:val="18"/>
              </w:rPr>
              <w:t>Reuters</w:t>
            </w:r>
          </w:p>
        </w:tc>
        <w:tc>
          <w:tcPr>
            <w:tcW w:type="dxa" w:w="3969"/>
            <w:vAlign w:val="center"/>
          </w:tcPr>
          <w:p>
            <w:pPr>
              <w:spacing w:after="0" w:before="0"/>
            </w:pPr>
            <w:r/>
            <w:r>
              <w:rPr>
                <w:rFonts w:ascii="Aptos" w:hAnsi="Aptos"/>
                <w:b w:val="0"/>
                <w:sz w:val="18"/>
              </w:rPr>
              <w:t>0.5277</w:t>
            </w:r>
          </w:p>
        </w:tc>
      </w:tr>
      <w:tr>
        <w:trPr>
          <w:cantSplit/>
        </w:trPr>
        <w:tc>
          <w:tcPr>
            <w:tcW w:type="dxa" w:w="5102"/>
            <w:vAlign w:val="center"/>
            <w:shd w:fill="F3F6FA"/>
          </w:tcPr>
          <w:p>
            <w:pPr>
              <w:spacing w:after="0" w:before="0"/>
            </w:pPr>
            <w:r/>
            <w:r>
              <w:rPr>
                <w:rFonts w:ascii="Aptos" w:hAnsi="Aptos"/>
                <w:b w:val="0"/>
                <w:sz w:val="18"/>
              </w:rPr>
              <w:t>Synthetic</w:t>
            </w:r>
          </w:p>
        </w:tc>
        <w:tc>
          <w:tcPr>
            <w:tcW w:type="dxa" w:w="3969"/>
            <w:vAlign w:val="center"/>
            <w:shd w:fill="F3F6FA"/>
          </w:tcPr>
          <w:p>
            <w:pPr>
              <w:spacing w:after="0" w:before="0"/>
            </w:pPr>
            <w:r/>
            <w:r>
              <w:rPr>
                <w:rFonts w:ascii="Aptos" w:hAnsi="Aptos"/>
                <w:b w:val="0"/>
                <w:sz w:val="18"/>
              </w:rPr>
              <w:t>0.9876</w:t>
            </w:r>
          </w:p>
        </w:tc>
      </w:tr>
    </w:tbl>
    <w:p>
      <w:pPr>
        <w:spacing w:after="0"/>
      </w:pPr>
    </w:p>
    <w:p>
      <w:r>
        <w:t>Internal testte Neutral sınıfı çok güçlü iken Reuters’ta yaklaşık 0.53 seviyesine kadar düştü. Bu bizi yalnızca dil dağılımı değişimine değil, etiketlerin anlamının veri setleri arasında farklı olabileceği ihtimaline götürdü.</w:t>
      </w:r>
    </w:p>
    <w:p>
      <w:r>
        <w:t>Örneğin “Revenue increased by 10%” gibi bir ifade bir veri setinde doğrudan Positive olabilir. Fakat “Revenue increased by 10%, below analyst expectations of 15%” ifadesi yüzeyde artış içerse de piyasa beklentisi açısından Negative değerlendirilebilir. Bu nedenle farklı kaynaklarda Positive/Neutral/Negative etiketlerinin aynı semantiği taşımaması mümkündür.</w:t>
      </w:r>
    </w:p>
    <w:p>
      <w:pPr>
        <w:pStyle w:val="SavunmaCümlesi"/>
      </w:pPr>
      <w:r>
        <w:rPr>
          <w:b/>
        </w:rPr>
        <w:t xml:space="preserve">Savunmada kısa anlatım: </w:t>
      </w:r>
      <w:r>
        <w:t>“Reuters’taki bozulmanın önemli kısmı Neutral sınıfında. Bu nedenle yalnızca domain shift değil, label semantics farklarının da etkili olabileceğini düşünüyoruz.”</w:t>
      </w:r>
    </w:p>
    <w:p>
      <w:pPr>
        <w:pStyle w:val="Heading1"/>
        <w:keepNext/>
        <w:spacing w:before="160" w:after="80"/>
      </w:pPr>
      <w:r>
        <w:t>11. Hata analizinde ne bulduk?</w:t>
      </w:r>
    </w:p>
    <w:p>
      <w:r>
        <w:t>Fine-tuned FinBERT’in internal testte yaptığı hataları tek tek sınıf geçişleri açısından inceledik. Yaklaşık 282 hatanın önemli bir bölümü Neutral sınıfının Positive veya Negative olarak tahmin edilmesinden oluşuyordu.</w:t>
      </w:r>
    </w:p>
    <w:p>
      <w:pPr>
        <w:pStyle w:val="ListBullet"/>
        <w:spacing w:after="40"/>
      </w:pPr>
      <w:r>
        <w:t>Neutral → Positive: yaklaşık 78 örnek</w:t>
      </w:r>
    </w:p>
    <w:p>
      <w:pPr>
        <w:pStyle w:val="ListBullet"/>
        <w:spacing w:after="40"/>
      </w:pPr>
      <w:r>
        <w:t>Neutral → Negative: yaklaşık 75 örnek</w:t>
      </w:r>
    </w:p>
    <w:p>
      <w:pPr>
        <w:pStyle w:val="ListBullet"/>
        <w:spacing w:after="40"/>
      </w:pPr>
      <w:r>
        <w:t>Bu iki hata türü birlikte 153/282 ≈ %54,3 oranında.</w:t>
      </w:r>
    </w:p>
    <w:p>
      <w:r>
        <w:t>Bir başka dikkat çekici sonuç, yanlış tahminlerin yaklaşık %77’sinde model confidence değerinin 0.90 veya üzerinde olmasıydı. Yani model çoğu zaman “emin değilim” diye hata yapmıyor; yanlış tahminde bulunurken bile oldukça emin davranıyor.</w:t>
      </w:r>
    </w:p>
    <w:p>
      <w:r>
        <w:t>Bu bulgu ileride calibration analizi yapmayı anlamlı hale getiriyor. Aynı zamanda modelin öğrendiği karar sınırları ile dış veri setinin etiket mantığı arasında uyuşmazlık olabileceği hipotezini destekliyor.</w:t>
      </w:r>
    </w:p>
    <w:p>
      <w:pPr>
        <w:pStyle w:val="Heading1"/>
        <w:keepNext/>
        <w:spacing w:before="160" w:after="80"/>
      </w:pPr>
      <w:r>
        <w:t>12. Financial PhraseBank gerçekten yardımcı oluyor mu diye neden ablation yaptık?</w:t>
      </w:r>
    </w:p>
    <w:p>
      <w:r>
        <w:t>Başlangıçta Financial PhraseBank’i eğitim verisine eklemek mantıklıydı; çünkü daha fazla finansal etiketli veri modele yardımcı olmalı diye düşündük. Fakat bunu varsayım olarak bırakmak yerine kontrollü biçimde test ettik. RoBERTa’yı Twitter-only ve Twitter + PhraseBank koşullarında karşılaştırdık.</w:t>
      </w:r>
    </w:p>
    <w:tbl>
      <w:tblPr>
        <w:tblStyle w:val="TableGrid"/>
        <w:tblW w:type="auto" w:w="0"/>
        <w:jc w:val="center"/>
        <w:tblLook w:firstColumn="1" w:firstRow="1" w:lastColumn="0" w:lastRow="0" w:noHBand="0" w:noVBand="1" w:val="04A0"/>
      </w:tblPr>
      <w:tblGrid>
        <w:gridCol w:w="2493"/>
        <w:gridCol w:w="2493"/>
        <w:gridCol w:w="2493"/>
        <w:gridCol w:w="2493"/>
      </w:tblGrid>
      <w:tr>
        <w:trPr>
          <w:cantSplit/>
        </w:trPr>
        <w:tc>
          <w:tcPr>
            <w:tcW w:type="dxa" w:w="2268"/>
            <w:vAlign w:val="center"/>
            <w:shd w:fill="365F91"/>
          </w:tcPr>
          <w:p>
            <w:pPr>
              <w:spacing w:after="0" w:before="0"/>
            </w:pPr>
            <w:r/>
            <w:r>
              <w:rPr>
                <w:rFonts w:ascii="Aptos" w:hAnsi="Aptos"/>
                <w:b/>
                <w:color w:val="FFFFFF"/>
                <w:sz w:val="18"/>
              </w:rPr>
              <w:t>Değerlendirme</w:t>
            </w:r>
          </w:p>
        </w:tc>
        <w:tc>
          <w:tcPr>
            <w:tcW w:type="dxa" w:w="2268"/>
            <w:vAlign w:val="center"/>
            <w:shd w:fill="365F91"/>
          </w:tcPr>
          <w:p>
            <w:pPr>
              <w:spacing w:after="0" w:before="0"/>
            </w:pPr>
            <w:r/>
            <w:r>
              <w:rPr>
                <w:rFonts w:ascii="Aptos" w:hAnsi="Aptos"/>
                <w:b/>
                <w:color w:val="FFFFFF"/>
                <w:sz w:val="18"/>
              </w:rPr>
              <w:t>Twitter-only</w:t>
            </w:r>
          </w:p>
        </w:tc>
        <w:tc>
          <w:tcPr>
            <w:tcW w:type="dxa" w:w="2835"/>
            <w:vAlign w:val="center"/>
            <w:shd w:fill="365F91"/>
          </w:tcPr>
          <w:p>
            <w:pPr>
              <w:spacing w:after="0" w:before="0"/>
            </w:pPr>
            <w:r/>
            <w:r>
              <w:rPr>
                <w:rFonts w:ascii="Aptos" w:hAnsi="Aptos"/>
                <w:b/>
                <w:color w:val="FFFFFF"/>
                <w:sz w:val="18"/>
              </w:rPr>
              <w:t>Twitter + PhraseBank</w:t>
            </w:r>
          </w:p>
        </w:tc>
        <w:tc>
          <w:tcPr>
            <w:tcW w:type="dxa" w:w="1701"/>
            <w:vAlign w:val="center"/>
            <w:shd w:fill="365F91"/>
          </w:tcPr>
          <w:p>
            <w:pPr>
              <w:spacing w:after="0" w:before="0"/>
            </w:pPr>
            <w:r/>
            <w:r>
              <w:rPr>
                <w:rFonts w:ascii="Aptos" w:hAnsi="Aptos"/>
                <w:b/>
                <w:color w:val="FFFFFF"/>
                <w:sz w:val="18"/>
              </w:rPr>
              <w:t>Değişim</w:t>
            </w:r>
          </w:p>
        </w:tc>
      </w:tr>
      <w:tr>
        <w:trPr>
          <w:cantSplit/>
        </w:trPr>
        <w:tc>
          <w:tcPr>
            <w:tcW w:type="dxa" w:w="2268"/>
            <w:vAlign w:val="center"/>
          </w:tcPr>
          <w:p>
            <w:pPr>
              <w:spacing w:after="0" w:before="0"/>
            </w:pPr>
            <w:r/>
            <w:r>
              <w:rPr>
                <w:rFonts w:ascii="Aptos" w:hAnsi="Aptos"/>
                <w:b w:val="0"/>
                <w:sz w:val="18"/>
              </w:rPr>
              <w:t>Internal</w:t>
            </w:r>
          </w:p>
        </w:tc>
        <w:tc>
          <w:tcPr>
            <w:tcW w:type="dxa" w:w="2268"/>
            <w:vAlign w:val="center"/>
          </w:tcPr>
          <w:p>
            <w:pPr>
              <w:spacing w:after="0" w:before="0"/>
            </w:pPr>
            <w:r/>
            <w:r>
              <w:rPr>
                <w:rFonts w:ascii="Aptos" w:hAnsi="Aptos"/>
                <w:b w:val="0"/>
                <w:sz w:val="18"/>
              </w:rPr>
              <w:t>0.8810</w:t>
            </w:r>
          </w:p>
        </w:tc>
        <w:tc>
          <w:tcPr>
            <w:tcW w:type="dxa" w:w="2835"/>
            <w:vAlign w:val="center"/>
          </w:tcPr>
          <w:p>
            <w:pPr>
              <w:spacing w:after="0" w:before="0"/>
            </w:pPr>
            <w:r/>
            <w:r>
              <w:rPr>
                <w:rFonts w:ascii="Aptos" w:hAnsi="Aptos"/>
                <w:b w:val="0"/>
                <w:sz w:val="18"/>
              </w:rPr>
              <w:t>0.8679</w:t>
            </w:r>
          </w:p>
        </w:tc>
        <w:tc>
          <w:tcPr>
            <w:tcW w:type="dxa" w:w="1701"/>
            <w:vAlign w:val="center"/>
          </w:tcPr>
          <w:p>
            <w:pPr>
              <w:spacing w:after="0" w:before="0"/>
            </w:pPr>
            <w:r/>
            <w:r>
              <w:rPr>
                <w:rFonts w:ascii="Aptos" w:hAnsi="Aptos"/>
                <w:b w:val="0"/>
                <w:sz w:val="18"/>
              </w:rPr>
              <w:t>≈ -0.0132</w:t>
            </w:r>
          </w:p>
        </w:tc>
      </w:tr>
      <w:tr>
        <w:trPr>
          <w:cantSplit/>
        </w:trPr>
        <w:tc>
          <w:tcPr>
            <w:tcW w:type="dxa" w:w="2268"/>
            <w:vAlign w:val="center"/>
            <w:shd w:fill="F3F6FA"/>
          </w:tcPr>
          <w:p>
            <w:pPr>
              <w:spacing w:after="0" w:before="0"/>
            </w:pPr>
            <w:r/>
            <w:r>
              <w:rPr>
                <w:rFonts w:ascii="Aptos" w:hAnsi="Aptos"/>
                <w:b w:val="0"/>
                <w:sz w:val="18"/>
              </w:rPr>
              <w:t>Reuters</w:t>
            </w:r>
          </w:p>
        </w:tc>
        <w:tc>
          <w:tcPr>
            <w:tcW w:type="dxa" w:w="2268"/>
            <w:vAlign w:val="center"/>
            <w:shd w:fill="F3F6FA"/>
          </w:tcPr>
          <w:p>
            <w:pPr>
              <w:spacing w:after="0" w:before="0"/>
            </w:pPr>
            <w:r/>
            <w:r>
              <w:rPr>
                <w:rFonts w:ascii="Aptos" w:hAnsi="Aptos"/>
                <w:b w:val="0"/>
                <w:sz w:val="18"/>
              </w:rPr>
              <w:t>0.6465</w:t>
            </w:r>
          </w:p>
        </w:tc>
        <w:tc>
          <w:tcPr>
            <w:tcW w:type="dxa" w:w="2835"/>
            <w:vAlign w:val="center"/>
            <w:shd w:fill="F3F6FA"/>
          </w:tcPr>
          <w:p>
            <w:pPr>
              <w:spacing w:after="0" w:before="0"/>
            </w:pPr>
            <w:r/>
            <w:r>
              <w:rPr>
                <w:rFonts w:ascii="Aptos" w:hAnsi="Aptos"/>
                <w:b w:val="0"/>
                <w:sz w:val="18"/>
              </w:rPr>
              <w:t>0.6305</w:t>
            </w:r>
          </w:p>
        </w:tc>
        <w:tc>
          <w:tcPr>
            <w:tcW w:type="dxa" w:w="1701"/>
            <w:vAlign w:val="center"/>
            <w:shd w:fill="F3F6FA"/>
          </w:tcPr>
          <w:p>
            <w:pPr>
              <w:spacing w:after="0" w:before="0"/>
            </w:pPr>
            <w:r/>
            <w:r>
              <w:rPr>
                <w:rFonts w:ascii="Aptos" w:hAnsi="Aptos"/>
                <w:b w:val="0"/>
                <w:sz w:val="18"/>
              </w:rPr>
              <w:t>≈ -0.0160</w:t>
            </w:r>
          </w:p>
        </w:tc>
      </w:tr>
      <w:tr>
        <w:trPr>
          <w:cantSplit/>
        </w:trPr>
        <w:tc>
          <w:tcPr>
            <w:tcW w:type="dxa" w:w="2268"/>
            <w:vAlign w:val="center"/>
          </w:tcPr>
          <w:p>
            <w:pPr>
              <w:spacing w:after="0" w:before="0"/>
            </w:pPr>
            <w:r/>
            <w:r>
              <w:rPr>
                <w:rFonts w:ascii="Aptos" w:hAnsi="Aptos"/>
                <w:b w:val="0"/>
                <w:sz w:val="18"/>
              </w:rPr>
              <w:t>S&amp;P</w:t>
            </w:r>
          </w:p>
        </w:tc>
        <w:tc>
          <w:tcPr>
            <w:tcW w:type="dxa" w:w="2268"/>
            <w:vAlign w:val="center"/>
          </w:tcPr>
          <w:p>
            <w:pPr>
              <w:spacing w:after="0" w:before="0"/>
            </w:pPr>
            <w:r/>
            <w:r>
              <w:rPr>
                <w:rFonts w:ascii="Aptos" w:hAnsi="Aptos"/>
                <w:b w:val="0"/>
                <w:sz w:val="18"/>
              </w:rPr>
              <w:t>0.7989</w:t>
            </w:r>
          </w:p>
        </w:tc>
        <w:tc>
          <w:tcPr>
            <w:tcW w:type="dxa" w:w="2835"/>
            <w:vAlign w:val="center"/>
          </w:tcPr>
          <w:p>
            <w:pPr>
              <w:spacing w:after="0" w:before="0"/>
            </w:pPr>
            <w:r/>
            <w:r>
              <w:rPr>
                <w:rFonts w:ascii="Aptos" w:hAnsi="Aptos"/>
                <w:b w:val="0"/>
                <w:sz w:val="18"/>
              </w:rPr>
              <w:t>0.7968</w:t>
            </w:r>
          </w:p>
        </w:tc>
        <w:tc>
          <w:tcPr>
            <w:tcW w:type="dxa" w:w="1701"/>
            <w:vAlign w:val="center"/>
          </w:tcPr>
          <w:p>
            <w:pPr>
              <w:spacing w:after="0" w:before="0"/>
            </w:pPr>
            <w:r/>
            <w:r>
              <w:rPr>
                <w:rFonts w:ascii="Aptos" w:hAnsi="Aptos"/>
                <w:b w:val="0"/>
                <w:sz w:val="18"/>
              </w:rPr>
              <w:t>Çok küçük düşüş</w:t>
            </w:r>
          </w:p>
        </w:tc>
      </w:tr>
    </w:tbl>
    <w:p>
      <w:pPr>
        <w:spacing w:after="0"/>
      </w:pPr>
    </w:p>
    <w:p>
      <w:r>
        <w:t>PhraseBank eklemek beklenen iyileşmeyi sağlamadı; internal ve Reuters sonuçlarında performansı düşürdü, S&amp;P’de ise anlamlı bir fayda göstermedi. Böylece “daha fazla finansal veri = daha iyi genelleme” varsayımının her zaman doğru olmadığı görüldü.</w:t>
      </w:r>
    </w:p>
    <w:p>
      <w:r>
        <w:t>Muhtemel nedenler arasında kaynakların yazım tarzı, cümle yapısı, sentiment perspektifi ve etiket semantiği farklılıkları bulunuyor. Heterojen eğitim verisi bazen yararlı bilgi eklemek yerine modelin karar sınırlarını bulanıklaştırabilir.</w:t>
      </w:r>
    </w:p>
    <w:p>
      <w:pPr>
        <w:pStyle w:val="SavunmaCümlesi"/>
      </w:pPr>
      <w:r>
        <w:rPr>
          <w:b/>
        </w:rPr>
        <w:t xml:space="preserve">Savunmada kısa anlatım: </w:t>
      </w:r>
      <w:r>
        <w:t>“PhraseBank finans verisi olmasına rağmen eklenmesi performansı otomatik olarak artırmadı. Bu, veri miktarından çok veri uyumunun ve etiket semantiğinin önemli olduğunu gösteriyor.”</w:t>
      </w:r>
    </w:p>
    <w:p>
      <w:pPr>
        <w:pStyle w:val="Heading1"/>
        <w:keepNext/>
        <w:spacing w:before="160" w:after="80"/>
      </w:pPr>
      <w:r>
        <w:t>13. 3.000 sentetik örneği neden kullandık?</w:t>
      </w:r>
    </w:p>
    <w:p>
      <w:r>
        <w:t>Sentetik finansal örnekler kontrollü, dengeli ve sentiment sinyalinin daha açık olduğu bir değerlendirme ortamı sağlamak için kullanıldı. Bu veri seti eğitime dahil edilmedi; yalnızca test amacıyla kullanıldı.</w:t>
      </w:r>
    </w:p>
    <w:tbl>
      <w:tblPr>
        <w:tblStyle w:val="TableGrid"/>
        <w:tblW w:type="auto" w:w="0"/>
        <w:jc w:val="center"/>
        <w:tblLook w:firstColumn="1" w:firstRow="1" w:lastColumn="0" w:lastRow="0" w:noHBand="0" w:noVBand="1" w:val="04A0"/>
      </w:tblPr>
      <w:tblGrid>
        <w:gridCol w:w="4986"/>
        <w:gridCol w:w="4986"/>
      </w:tblGrid>
      <w:tr>
        <w:trPr>
          <w:cantSplit/>
        </w:trPr>
        <w:tc>
          <w:tcPr>
            <w:tcW w:type="dxa" w:w="5102"/>
            <w:vAlign w:val="center"/>
            <w:shd w:fill="365F91"/>
          </w:tcPr>
          <w:p>
            <w:pPr>
              <w:spacing w:after="0" w:before="0"/>
            </w:pPr>
            <w:r/>
            <w:r>
              <w:rPr>
                <w:rFonts w:ascii="Aptos" w:hAnsi="Aptos"/>
                <w:b/>
                <w:color w:val="FFFFFF"/>
                <w:sz w:val="18"/>
              </w:rPr>
              <w:t>Model</w:t>
            </w:r>
          </w:p>
        </w:tc>
        <w:tc>
          <w:tcPr>
            <w:tcW w:type="dxa" w:w="3969"/>
            <w:vAlign w:val="center"/>
            <w:shd w:fill="365F91"/>
          </w:tcPr>
          <w:p>
            <w:pPr>
              <w:spacing w:after="0" w:before="0"/>
            </w:pPr>
            <w:r/>
            <w:r>
              <w:rPr>
                <w:rFonts w:ascii="Aptos" w:hAnsi="Aptos"/>
                <w:b/>
                <w:color w:val="FFFFFF"/>
                <w:sz w:val="18"/>
              </w:rPr>
              <w:t>Synthetic Macro-F1</w:t>
            </w:r>
          </w:p>
        </w:tc>
      </w:tr>
      <w:tr>
        <w:trPr>
          <w:cantSplit/>
        </w:trPr>
        <w:tc>
          <w:tcPr>
            <w:tcW w:type="dxa" w:w="5102"/>
            <w:vAlign w:val="center"/>
          </w:tcPr>
          <w:p>
            <w:pPr>
              <w:spacing w:after="0" w:before="0"/>
            </w:pPr>
            <w:r/>
            <w:r>
              <w:rPr>
                <w:rFonts w:ascii="Aptos" w:hAnsi="Aptos"/>
                <w:b w:val="0"/>
                <w:sz w:val="18"/>
              </w:rPr>
              <w:t>RoBERTa</w:t>
            </w:r>
          </w:p>
        </w:tc>
        <w:tc>
          <w:tcPr>
            <w:tcW w:type="dxa" w:w="3969"/>
            <w:vAlign w:val="center"/>
          </w:tcPr>
          <w:p>
            <w:pPr>
              <w:spacing w:after="0" w:before="0"/>
            </w:pPr>
            <w:r/>
            <w:r>
              <w:rPr>
                <w:rFonts w:ascii="Aptos" w:hAnsi="Aptos"/>
                <w:b w:val="0"/>
                <w:sz w:val="18"/>
              </w:rPr>
              <w:t>0.9957</w:t>
            </w:r>
          </w:p>
        </w:tc>
      </w:tr>
      <w:tr>
        <w:trPr>
          <w:cantSplit/>
        </w:trPr>
        <w:tc>
          <w:tcPr>
            <w:tcW w:type="dxa" w:w="5102"/>
            <w:vAlign w:val="center"/>
            <w:shd w:fill="F3F6FA"/>
          </w:tcPr>
          <w:p>
            <w:pPr>
              <w:spacing w:after="0" w:before="0"/>
            </w:pPr>
            <w:r/>
            <w:r>
              <w:rPr>
                <w:rFonts w:ascii="Aptos" w:hAnsi="Aptos"/>
                <w:b w:val="0"/>
                <w:sz w:val="18"/>
              </w:rPr>
              <w:t>Fine-tuned FinBERT</w:t>
            </w:r>
          </w:p>
        </w:tc>
        <w:tc>
          <w:tcPr>
            <w:tcW w:type="dxa" w:w="3969"/>
            <w:vAlign w:val="center"/>
            <w:shd w:fill="F3F6FA"/>
          </w:tcPr>
          <w:p>
            <w:pPr>
              <w:spacing w:after="0" w:before="0"/>
            </w:pPr>
            <w:r/>
            <w:r>
              <w:rPr>
                <w:rFonts w:ascii="Aptos" w:hAnsi="Aptos"/>
                <w:b w:val="0"/>
                <w:sz w:val="18"/>
              </w:rPr>
              <w:t>≈ 0.9746</w:t>
            </w:r>
          </w:p>
        </w:tc>
      </w:tr>
      <w:tr>
        <w:trPr>
          <w:cantSplit/>
        </w:trPr>
        <w:tc>
          <w:tcPr>
            <w:tcW w:type="dxa" w:w="5102"/>
            <w:vAlign w:val="center"/>
          </w:tcPr>
          <w:p>
            <w:pPr>
              <w:spacing w:after="0" w:before="0"/>
            </w:pPr>
            <w:r/>
            <w:r>
              <w:rPr>
                <w:rFonts w:ascii="Aptos" w:hAnsi="Aptos"/>
                <w:b w:val="0"/>
                <w:sz w:val="18"/>
              </w:rPr>
              <w:t>BERT</w:t>
            </w:r>
          </w:p>
        </w:tc>
        <w:tc>
          <w:tcPr>
            <w:tcW w:type="dxa" w:w="3969"/>
            <w:vAlign w:val="center"/>
          </w:tcPr>
          <w:p>
            <w:pPr>
              <w:spacing w:after="0" w:before="0"/>
            </w:pPr>
            <w:r/>
            <w:r>
              <w:rPr>
                <w:rFonts w:ascii="Aptos" w:hAnsi="Aptos"/>
                <w:b w:val="0"/>
                <w:sz w:val="18"/>
              </w:rPr>
              <w:t>≈ 0.9742</w:t>
            </w:r>
          </w:p>
        </w:tc>
      </w:tr>
    </w:tbl>
    <w:p>
      <w:pPr>
        <w:spacing w:after="0"/>
      </w:pPr>
    </w:p>
    <w:p>
      <w:r>
        <w:t>Sonuçların neredeyse kusursuz olması ilk bakışta modellerin çok başarılı olduğunu düşündürebilir. Fakat Reuters sonuçları bunun gerçek dünya genellemesine doğrudan karşılık gelmediğini gösterdi. Sentetik metinlerde sentiment ipuçları muhtemelen daha açık, sınıflar daha temiz ve belirsizlik daha düşük.</w:t>
      </w:r>
    </w:p>
    <w:p>
      <w:pPr>
        <w:pStyle w:val="SavunmaCümlesi"/>
      </w:pPr>
      <w:r>
        <w:rPr>
          <w:b/>
        </w:rPr>
        <w:t xml:space="preserve">Savunmada kısa anlatım: </w:t>
      </w:r>
      <w:r>
        <w:t>“Sentetik benchmark’ta çok yüksek sonuç aldık; fakat Reuters’ta skorlar ciddi biçimde düştü. Bu nedenle sentetik başarıyı gerçek dünya genellemesinin kanıtı olarak görmemek gerekiyor.”</w:t>
      </w:r>
    </w:p>
    <w:p>
      <w:pPr>
        <w:pStyle w:val="Heading1"/>
        <w:keepNext/>
        <w:spacing w:before="160" w:after="80"/>
      </w:pPr>
      <w:r>
        <w:t>14. Zero-shot NLI modellerini neden denedik?</w:t>
      </w:r>
    </w:p>
    <w:p>
      <w:r>
        <w:t>Task-specific fine-tuning’in gerçekten gerekli olup olmadığını farklı bir açıdan görmek için genel NLI modelleriyle zero-shot sentiment sınıflandırması denedik. BART-MNLI, RoBERTa-NLI, BERT-MNLI ve DistilBERT-MNLI modelleri kullanıldı.</w:t>
      </w:r>
    </w:p>
    <w:tbl>
      <w:tblPr>
        <w:tblStyle w:val="TableGrid"/>
        <w:tblW w:type="auto" w:w="0"/>
        <w:jc w:val="center"/>
        <w:tblLook w:firstColumn="1" w:firstRow="1" w:lastColumn="0" w:lastRow="0" w:noHBand="0" w:noVBand="1" w:val="04A0"/>
      </w:tblPr>
      <w:tblGrid>
        <w:gridCol w:w="4986"/>
        <w:gridCol w:w="4986"/>
      </w:tblGrid>
      <w:tr>
        <w:trPr>
          <w:cantSplit/>
        </w:trPr>
        <w:tc>
          <w:tcPr>
            <w:tcW w:type="dxa" w:w="5102"/>
            <w:vAlign w:val="center"/>
            <w:shd w:fill="365F91"/>
          </w:tcPr>
          <w:p>
            <w:pPr>
              <w:spacing w:after="0" w:before="0"/>
            </w:pPr>
            <w:r/>
            <w:r>
              <w:rPr>
                <w:rFonts w:ascii="Aptos" w:hAnsi="Aptos"/>
                <w:b/>
                <w:color w:val="FFFFFF"/>
                <w:sz w:val="18"/>
              </w:rPr>
              <w:t>Zero-shot model</w:t>
            </w:r>
          </w:p>
        </w:tc>
        <w:tc>
          <w:tcPr>
            <w:tcW w:type="dxa" w:w="3969"/>
            <w:vAlign w:val="center"/>
            <w:shd w:fill="365F91"/>
          </w:tcPr>
          <w:p>
            <w:pPr>
              <w:spacing w:after="0" w:before="0"/>
            </w:pPr>
            <w:r/>
            <w:r>
              <w:rPr>
                <w:rFonts w:ascii="Aptos" w:hAnsi="Aptos"/>
                <w:b/>
                <w:color w:val="FFFFFF"/>
                <w:sz w:val="18"/>
              </w:rPr>
              <w:t>S&amp;P Macro-F1</w:t>
            </w:r>
          </w:p>
        </w:tc>
      </w:tr>
      <w:tr>
        <w:trPr>
          <w:cantSplit/>
        </w:trPr>
        <w:tc>
          <w:tcPr>
            <w:tcW w:type="dxa" w:w="5102"/>
            <w:vAlign w:val="center"/>
          </w:tcPr>
          <w:p>
            <w:pPr>
              <w:spacing w:after="0" w:before="0"/>
            </w:pPr>
            <w:r/>
            <w:r>
              <w:rPr>
                <w:rFonts w:ascii="Aptos" w:hAnsi="Aptos"/>
                <w:b w:val="0"/>
                <w:sz w:val="18"/>
              </w:rPr>
              <w:t>BART-MNLI</w:t>
            </w:r>
          </w:p>
        </w:tc>
        <w:tc>
          <w:tcPr>
            <w:tcW w:type="dxa" w:w="3969"/>
            <w:vAlign w:val="center"/>
          </w:tcPr>
          <w:p>
            <w:pPr>
              <w:spacing w:after="0" w:before="0"/>
            </w:pPr>
            <w:r/>
            <w:r>
              <w:rPr>
                <w:rFonts w:ascii="Aptos" w:hAnsi="Aptos"/>
                <w:b w:val="0"/>
                <w:sz w:val="18"/>
              </w:rPr>
              <w:t>0.5580</w:t>
            </w:r>
          </w:p>
        </w:tc>
      </w:tr>
      <w:tr>
        <w:trPr>
          <w:cantSplit/>
        </w:trPr>
        <w:tc>
          <w:tcPr>
            <w:tcW w:type="dxa" w:w="5102"/>
            <w:vAlign w:val="center"/>
            <w:shd w:fill="F3F6FA"/>
          </w:tcPr>
          <w:p>
            <w:pPr>
              <w:spacing w:after="0" w:before="0"/>
            </w:pPr>
            <w:r/>
            <w:r>
              <w:rPr>
                <w:rFonts w:ascii="Aptos" w:hAnsi="Aptos"/>
                <w:b w:val="0"/>
                <w:sz w:val="18"/>
              </w:rPr>
              <w:t>RoBERTa-NLI</w:t>
            </w:r>
          </w:p>
        </w:tc>
        <w:tc>
          <w:tcPr>
            <w:tcW w:type="dxa" w:w="3969"/>
            <w:vAlign w:val="center"/>
            <w:shd w:fill="F3F6FA"/>
          </w:tcPr>
          <w:p>
            <w:pPr>
              <w:spacing w:after="0" w:before="0"/>
            </w:pPr>
            <w:r/>
            <w:r>
              <w:rPr>
                <w:rFonts w:ascii="Aptos" w:hAnsi="Aptos"/>
                <w:b w:val="0"/>
                <w:sz w:val="18"/>
              </w:rPr>
              <w:t>0.4913</w:t>
            </w:r>
          </w:p>
        </w:tc>
      </w:tr>
      <w:tr>
        <w:trPr>
          <w:cantSplit/>
        </w:trPr>
        <w:tc>
          <w:tcPr>
            <w:tcW w:type="dxa" w:w="5102"/>
            <w:vAlign w:val="center"/>
          </w:tcPr>
          <w:p>
            <w:pPr>
              <w:spacing w:after="0" w:before="0"/>
            </w:pPr>
            <w:r/>
            <w:r>
              <w:rPr>
                <w:rFonts w:ascii="Aptos" w:hAnsi="Aptos"/>
                <w:b w:val="0"/>
                <w:sz w:val="18"/>
              </w:rPr>
              <w:t>BERT-MNLI</w:t>
            </w:r>
          </w:p>
        </w:tc>
        <w:tc>
          <w:tcPr>
            <w:tcW w:type="dxa" w:w="3969"/>
            <w:vAlign w:val="center"/>
          </w:tcPr>
          <w:p>
            <w:pPr>
              <w:spacing w:after="0" w:before="0"/>
            </w:pPr>
            <w:r/>
            <w:r>
              <w:rPr>
                <w:rFonts w:ascii="Aptos" w:hAnsi="Aptos"/>
                <w:b w:val="0"/>
                <w:sz w:val="18"/>
              </w:rPr>
              <w:t>0.4033</w:t>
            </w:r>
          </w:p>
        </w:tc>
      </w:tr>
      <w:tr>
        <w:trPr>
          <w:cantSplit/>
        </w:trPr>
        <w:tc>
          <w:tcPr>
            <w:tcW w:type="dxa" w:w="5102"/>
            <w:vAlign w:val="center"/>
            <w:shd w:fill="F3F6FA"/>
          </w:tcPr>
          <w:p>
            <w:pPr>
              <w:spacing w:after="0" w:before="0"/>
            </w:pPr>
            <w:r/>
            <w:r>
              <w:rPr>
                <w:rFonts w:ascii="Aptos" w:hAnsi="Aptos"/>
                <w:b w:val="0"/>
                <w:sz w:val="18"/>
              </w:rPr>
              <w:t>DistilBERT-MNLI</w:t>
            </w:r>
          </w:p>
        </w:tc>
        <w:tc>
          <w:tcPr>
            <w:tcW w:type="dxa" w:w="3969"/>
            <w:vAlign w:val="center"/>
            <w:shd w:fill="F3F6FA"/>
          </w:tcPr>
          <w:p>
            <w:pPr>
              <w:spacing w:after="0" w:before="0"/>
            </w:pPr>
            <w:r/>
            <w:r>
              <w:rPr>
                <w:rFonts w:ascii="Aptos" w:hAnsi="Aptos"/>
                <w:b w:val="0"/>
                <w:sz w:val="18"/>
              </w:rPr>
              <w:t>0.3880</w:t>
            </w:r>
          </w:p>
        </w:tc>
      </w:tr>
    </w:tbl>
    <w:p>
      <w:pPr>
        <w:spacing w:after="0"/>
      </w:pPr>
    </w:p>
    <w:p>
      <w:r>
        <w:t>Zero-shot modeller fine-tuned modellerin belirgin biçimde gerisinde kaldı ve özellikle Neutral sınıfında zorlandı. Bu deney ana tez bulgusu olmaktan çok tamamlayıcı bir baseline görevi gördü: Genel NLI yeteneği, üç sınıflı finansal sentiment görevini task-specific eğitim kadar iyi çözmüyor.</w:t>
      </w:r>
    </w:p>
    <w:p>
      <w:r>
        <w:t>Not: S&amp;P’de görülen 0.4913 değeri fine-tuned RoBERTa’ya ait değildir; RoBERTa-NLI zero-shot modeline aittir. Fine-tuned RoBERTa’nın S&amp;P sonucu 0.8145’tir. Bu iki sonuç ileride pipeline temizliğinde özellikle ayrıştırılacaktır.</w:t>
      </w:r>
    </w:p>
    <w:p>
      <w:pPr>
        <w:pStyle w:val="Heading1"/>
        <w:keepNext/>
        <w:spacing w:before="160" w:after="80"/>
      </w:pPr>
      <w:r>
        <w:t>15. Hız ve verimlilik analizini neden yaptık?</w:t>
      </w:r>
    </w:p>
    <w:p>
      <w:r>
        <w:t>Gerçek bir sistemde yalnızca en yüksek F1 önemli değildir. Model boyutu, latency, throughput ve donanım maliyeti de seçim üzerinde etkilidir. Bu nedenle modellerin inference verimliliğine de baktık.</w:t>
      </w:r>
    </w:p>
    <w:tbl>
      <w:tblPr>
        <w:tblStyle w:val="TableGrid"/>
        <w:tblW w:type="auto" w:w="0"/>
        <w:jc w:val="center"/>
        <w:tblLook w:firstColumn="1" w:firstRow="1" w:lastColumn="0" w:lastRow="0" w:noHBand="0" w:noVBand="1" w:val="04A0"/>
      </w:tblPr>
      <w:tblGrid>
        <w:gridCol w:w="4986"/>
        <w:gridCol w:w="4986"/>
      </w:tblGrid>
      <w:tr>
        <w:trPr>
          <w:cantSplit/>
        </w:trPr>
        <w:tc>
          <w:tcPr>
            <w:tcW w:type="dxa" w:w="5102"/>
            <w:vAlign w:val="center"/>
            <w:shd w:fill="365F91"/>
          </w:tcPr>
          <w:p>
            <w:pPr>
              <w:spacing w:after="0" w:before="0"/>
            </w:pPr>
            <w:r/>
            <w:r>
              <w:rPr>
                <w:rFonts w:ascii="Aptos" w:hAnsi="Aptos"/>
                <w:b/>
                <w:color w:val="FFFFFF"/>
                <w:sz w:val="18"/>
              </w:rPr>
              <w:t>Model</w:t>
            </w:r>
          </w:p>
        </w:tc>
        <w:tc>
          <w:tcPr>
            <w:tcW w:type="dxa" w:w="3969"/>
            <w:vAlign w:val="center"/>
            <w:shd w:fill="365F91"/>
          </w:tcPr>
          <w:p>
            <w:pPr>
              <w:spacing w:after="0" w:before="0"/>
            </w:pPr>
            <w:r/>
            <w:r>
              <w:rPr>
                <w:rFonts w:ascii="Aptos" w:hAnsi="Aptos"/>
                <w:b/>
                <w:color w:val="FFFFFF"/>
                <w:sz w:val="18"/>
              </w:rPr>
              <w:t>CPU throughput</w:t>
            </w:r>
          </w:p>
        </w:tc>
      </w:tr>
      <w:tr>
        <w:trPr>
          <w:cantSplit/>
        </w:trPr>
        <w:tc>
          <w:tcPr>
            <w:tcW w:type="dxa" w:w="5102"/>
            <w:vAlign w:val="center"/>
          </w:tcPr>
          <w:p>
            <w:pPr>
              <w:spacing w:after="0" w:before="0"/>
            </w:pPr>
            <w:r/>
            <w:r>
              <w:rPr>
                <w:rFonts w:ascii="Aptos" w:hAnsi="Aptos"/>
                <w:b w:val="0"/>
                <w:sz w:val="18"/>
              </w:rPr>
              <w:t>DistilBERT</w:t>
            </w:r>
          </w:p>
        </w:tc>
        <w:tc>
          <w:tcPr>
            <w:tcW w:type="dxa" w:w="3969"/>
            <w:vAlign w:val="center"/>
          </w:tcPr>
          <w:p>
            <w:pPr>
              <w:spacing w:after="0" w:before="0"/>
            </w:pPr>
            <w:r/>
            <w:r>
              <w:rPr>
                <w:rFonts w:ascii="Aptos" w:hAnsi="Aptos"/>
                <w:b w:val="0"/>
                <w:sz w:val="18"/>
              </w:rPr>
              <w:t>≈ 70.3 örnek/s</w:t>
            </w:r>
          </w:p>
        </w:tc>
      </w:tr>
      <w:tr>
        <w:trPr>
          <w:cantSplit/>
        </w:trPr>
        <w:tc>
          <w:tcPr>
            <w:tcW w:type="dxa" w:w="5102"/>
            <w:vAlign w:val="center"/>
            <w:shd w:fill="F3F6FA"/>
          </w:tcPr>
          <w:p>
            <w:pPr>
              <w:spacing w:after="0" w:before="0"/>
            </w:pPr>
            <w:r/>
            <w:r>
              <w:rPr>
                <w:rFonts w:ascii="Aptos" w:hAnsi="Aptos"/>
                <w:b w:val="0"/>
                <w:sz w:val="18"/>
              </w:rPr>
              <w:t>BERT</w:t>
            </w:r>
          </w:p>
        </w:tc>
        <w:tc>
          <w:tcPr>
            <w:tcW w:type="dxa" w:w="3969"/>
            <w:vAlign w:val="center"/>
            <w:shd w:fill="F3F6FA"/>
          </w:tcPr>
          <w:p>
            <w:pPr>
              <w:spacing w:after="0" w:before="0"/>
            </w:pPr>
            <w:r/>
            <w:r>
              <w:rPr>
                <w:rFonts w:ascii="Aptos" w:hAnsi="Aptos"/>
                <w:b w:val="0"/>
                <w:sz w:val="18"/>
              </w:rPr>
              <w:t>≈ 31.37 örnek/s</w:t>
            </w:r>
          </w:p>
        </w:tc>
      </w:tr>
    </w:tbl>
    <w:p>
      <w:pPr>
        <w:spacing w:after="0"/>
      </w:pPr>
    </w:p>
    <w:p>
      <w:r>
        <w:t>DistilBERT yaklaşık 2.24 kat daha hızlıydı. Buna karşılık doğruluk tarafında RoBERTa daha güçlüydü. Böylece deployment açısından bir performans-verimlilik trade-off’u ortaya çıktı: RoBERTa daha yüksek doğruluk, DistilBERT daha yüksek hız sunuyor.</w:t>
      </w:r>
    </w:p>
    <w:p>
      <w:pPr>
        <w:pStyle w:val="Heading1"/>
        <w:keepNext/>
        <w:spacing w:before="160" w:after="80"/>
      </w:pPr>
      <w:r>
        <w:t>16. En çok karışan nokta: Hangi veriler train’e girdi, hangileri yalnızca testti?</w:t>
      </w:r>
    </w:p>
    <w:tbl>
      <w:tblPr>
        <w:tblStyle w:val="TableGrid"/>
        <w:tblW w:type="auto" w:w="0"/>
        <w:jc w:val="center"/>
        <w:tblLook w:firstColumn="1" w:firstRow="1" w:lastColumn="0" w:lastRow="0" w:noHBand="0" w:noVBand="1" w:val="04A0"/>
      </w:tblPr>
      <w:tblGrid>
        <w:gridCol w:w="2493"/>
        <w:gridCol w:w="2493"/>
        <w:gridCol w:w="2493"/>
        <w:gridCol w:w="2493"/>
      </w:tblGrid>
      <w:tr>
        <w:trPr>
          <w:cantSplit/>
        </w:trPr>
        <w:tc>
          <w:tcPr>
            <w:tcW w:type="dxa" w:w="2551"/>
            <w:vAlign w:val="center"/>
            <w:shd w:fill="365F91"/>
          </w:tcPr>
          <w:p>
            <w:pPr>
              <w:spacing w:after="0" w:before="0"/>
            </w:pPr>
            <w:r/>
            <w:r>
              <w:rPr>
                <w:rFonts w:ascii="Aptos" w:hAnsi="Aptos"/>
                <w:b/>
                <w:color w:val="FFFFFF"/>
                <w:sz w:val="18"/>
              </w:rPr>
              <w:t>Veri seti</w:t>
            </w:r>
          </w:p>
        </w:tc>
        <w:tc>
          <w:tcPr>
            <w:tcW w:type="dxa" w:w="3118"/>
            <w:vAlign w:val="center"/>
            <w:shd w:fill="365F91"/>
          </w:tcPr>
          <w:p>
            <w:pPr>
              <w:spacing w:after="0" w:before="0"/>
            </w:pPr>
            <w:r/>
            <w:r>
              <w:rPr>
                <w:rFonts w:ascii="Aptos" w:hAnsi="Aptos"/>
                <w:b/>
                <w:color w:val="FFFFFF"/>
                <w:sz w:val="18"/>
              </w:rPr>
              <w:t>Etiket kaynağı</w:t>
            </w:r>
          </w:p>
        </w:tc>
        <w:tc>
          <w:tcPr>
            <w:tcW w:type="dxa" w:w="1134"/>
            <w:vAlign w:val="center"/>
            <w:shd w:fill="365F91"/>
          </w:tcPr>
          <w:p>
            <w:pPr>
              <w:spacing w:after="0" w:before="0"/>
            </w:pPr>
            <w:r/>
            <w:r>
              <w:rPr>
                <w:rFonts w:ascii="Aptos" w:hAnsi="Aptos"/>
                <w:b/>
                <w:color w:val="FFFFFF"/>
                <w:sz w:val="18"/>
              </w:rPr>
              <w:t>Train?</w:t>
            </w:r>
          </w:p>
        </w:tc>
        <w:tc>
          <w:tcPr>
            <w:tcW w:type="dxa" w:w="2268"/>
            <w:vAlign w:val="center"/>
            <w:shd w:fill="365F91"/>
          </w:tcPr>
          <w:p>
            <w:pPr>
              <w:spacing w:after="0" w:before="0"/>
            </w:pPr>
            <w:r/>
            <w:r>
              <w:rPr>
                <w:rFonts w:ascii="Aptos" w:hAnsi="Aptos"/>
                <w:b/>
                <w:color w:val="FFFFFF"/>
                <w:sz w:val="18"/>
              </w:rPr>
              <w:t>Kullanım</w:t>
            </w:r>
          </w:p>
        </w:tc>
      </w:tr>
      <w:tr>
        <w:trPr>
          <w:cantSplit/>
        </w:trPr>
        <w:tc>
          <w:tcPr>
            <w:tcW w:type="dxa" w:w="2551"/>
            <w:vAlign w:val="center"/>
          </w:tcPr>
          <w:p>
            <w:pPr>
              <w:spacing w:after="0" w:before="0"/>
            </w:pPr>
            <w:r/>
            <w:r>
              <w:rPr>
                <w:rFonts w:ascii="Aptos" w:hAnsi="Aptos"/>
                <w:b w:val="0"/>
                <w:sz w:val="18"/>
              </w:rPr>
              <w:t>Twitter Financial News Sentiment</w:t>
            </w:r>
          </w:p>
        </w:tc>
        <w:tc>
          <w:tcPr>
            <w:tcW w:type="dxa" w:w="3118"/>
            <w:vAlign w:val="center"/>
          </w:tcPr>
          <w:p>
            <w:pPr>
              <w:spacing w:after="0" w:before="0"/>
            </w:pPr>
            <w:r/>
            <w:r>
              <w:rPr>
                <w:rFonts w:ascii="Aptos" w:hAnsi="Aptos"/>
                <w:b w:val="0"/>
                <w:sz w:val="18"/>
              </w:rPr>
              <w:t>Hazır insan/benchmark etiketi</w:t>
            </w:r>
          </w:p>
        </w:tc>
        <w:tc>
          <w:tcPr>
            <w:tcW w:type="dxa" w:w="1134"/>
            <w:vAlign w:val="center"/>
          </w:tcPr>
          <w:p>
            <w:pPr>
              <w:spacing w:after="0" w:before="0"/>
            </w:pPr>
            <w:r/>
            <w:r>
              <w:rPr>
                <w:rFonts w:ascii="Aptos" w:hAnsi="Aptos"/>
                <w:b w:val="0"/>
                <w:sz w:val="18"/>
              </w:rPr>
              <w:t>Evet</w:t>
            </w:r>
          </w:p>
        </w:tc>
        <w:tc>
          <w:tcPr>
            <w:tcW w:type="dxa" w:w="2268"/>
            <w:vAlign w:val="center"/>
          </w:tcPr>
          <w:p>
            <w:pPr>
              <w:spacing w:after="0" w:before="0"/>
            </w:pPr>
            <w:r/>
            <w:r>
              <w:rPr>
                <w:rFonts w:ascii="Aptos" w:hAnsi="Aptos"/>
                <w:b w:val="0"/>
                <w:sz w:val="18"/>
              </w:rPr>
              <w:t>Ana train + internal test</w:t>
            </w:r>
          </w:p>
        </w:tc>
      </w:tr>
      <w:tr>
        <w:trPr>
          <w:cantSplit/>
        </w:trPr>
        <w:tc>
          <w:tcPr>
            <w:tcW w:type="dxa" w:w="2551"/>
            <w:vAlign w:val="center"/>
            <w:shd w:fill="F3F6FA"/>
          </w:tcPr>
          <w:p>
            <w:pPr>
              <w:spacing w:after="0" w:before="0"/>
            </w:pPr>
            <w:r/>
            <w:r>
              <w:rPr>
                <w:rFonts w:ascii="Aptos" w:hAnsi="Aptos"/>
                <w:b w:val="0"/>
                <w:sz w:val="18"/>
              </w:rPr>
              <w:t>Financial PhraseBank</w:t>
            </w:r>
          </w:p>
        </w:tc>
        <w:tc>
          <w:tcPr>
            <w:tcW w:type="dxa" w:w="3118"/>
            <w:vAlign w:val="center"/>
            <w:shd w:fill="F3F6FA"/>
          </w:tcPr>
          <w:p>
            <w:pPr>
              <w:spacing w:after="0" w:before="0"/>
            </w:pPr>
            <w:r/>
            <w:r>
              <w:rPr>
                <w:rFonts w:ascii="Aptos" w:hAnsi="Aptos"/>
                <w:b w:val="0"/>
                <w:sz w:val="18"/>
              </w:rPr>
              <w:t>Hazır insan/benchmark etiketi</w:t>
            </w:r>
          </w:p>
        </w:tc>
        <w:tc>
          <w:tcPr>
            <w:tcW w:type="dxa" w:w="1134"/>
            <w:vAlign w:val="center"/>
            <w:shd w:fill="F3F6FA"/>
          </w:tcPr>
          <w:p>
            <w:pPr>
              <w:spacing w:after="0" w:before="0"/>
            </w:pPr>
            <w:r/>
            <w:r>
              <w:rPr>
                <w:rFonts w:ascii="Aptos" w:hAnsi="Aptos"/>
                <w:b w:val="0"/>
                <w:sz w:val="18"/>
              </w:rPr>
              <w:t>Evet</w:t>
            </w:r>
          </w:p>
        </w:tc>
        <w:tc>
          <w:tcPr>
            <w:tcW w:type="dxa" w:w="2268"/>
            <w:vAlign w:val="center"/>
            <w:shd w:fill="F3F6FA"/>
          </w:tcPr>
          <w:p>
            <w:pPr>
              <w:spacing w:after="0" w:before="0"/>
            </w:pPr>
            <w:r/>
            <w:r>
              <w:rPr>
                <w:rFonts w:ascii="Aptos" w:hAnsi="Aptos"/>
                <w:b w:val="0"/>
                <w:sz w:val="18"/>
              </w:rPr>
              <w:t>Yardımcı eğitim / ablation</w:t>
            </w:r>
          </w:p>
        </w:tc>
      </w:tr>
      <w:tr>
        <w:trPr>
          <w:cantSplit/>
        </w:trPr>
        <w:tc>
          <w:tcPr>
            <w:tcW w:type="dxa" w:w="2551"/>
            <w:vAlign w:val="center"/>
          </w:tcPr>
          <w:p>
            <w:pPr>
              <w:spacing w:after="0" w:before="0"/>
            </w:pPr>
            <w:r/>
            <w:r>
              <w:rPr>
                <w:rFonts w:ascii="Aptos" w:hAnsi="Aptos"/>
                <w:b w:val="0"/>
                <w:sz w:val="18"/>
              </w:rPr>
              <w:t>S&amp;P 500</w:t>
            </w:r>
          </w:p>
        </w:tc>
        <w:tc>
          <w:tcPr>
            <w:tcW w:type="dxa" w:w="3118"/>
            <w:vAlign w:val="center"/>
          </w:tcPr>
          <w:p>
            <w:pPr>
              <w:spacing w:after="0" w:before="0"/>
            </w:pPr>
            <w:r/>
            <w:r>
              <w:rPr>
                <w:rFonts w:ascii="Aptos" w:hAnsi="Aptos"/>
                <w:b w:val="0"/>
                <w:sz w:val="18"/>
              </w:rPr>
              <w:t>LLM ile oluşturulan etiket</w:t>
            </w:r>
          </w:p>
        </w:tc>
        <w:tc>
          <w:tcPr>
            <w:tcW w:type="dxa" w:w="1134"/>
            <w:vAlign w:val="center"/>
          </w:tcPr>
          <w:p>
            <w:pPr>
              <w:spacing w:after="0" w:before="0"/>
            </w:pPr>
            <w:r/>
            <w:r>
              <w:rPr>
                <w:rFonts w:ascii="Aptos" w:hAnsi="Aptos"/>
                <w:b w:val="0"/>
                <w:sz w:val="18"/>
              </w:rPr>
              <w:t>Hayır</w:t>
            </w:r>
          </w:p>
        </w:tc>
        <w:tc>
          <w:tcPr>
            <w:tcW w:type="dxa" w:w="2268"/>
            <w:vAlign w:val="center"/>
          </w:tcPr>
          <w:p>
            <w:pPr>
              <w:spacing w:after="0" w:before="0"/>
            </w:pPr>
            <w:r/>
            <w:r>
              <w:rPr>
                <w:rFonts w:ascii="Aptos" w:hAnsi="Aptos"/>
                <w:b w:val="0"/>
                <w:sz w:val="18"/>
              </w:rPr>
              <w:t>External test</w:t>
            </w:r>
          </w:p>
        </w:tc>
      </w:tr>
      <w:tr>
        <w:trPr>
          <w:cantSplit/>
        </w:trPr>
        <w:tc>
          <w:tcPr>
            <w:tcW w:type="dxa" w:w="2551"/>
            <w:vAlign w:val="center"/>
            <w:shd w:fill="F3F6FA"/>
          </w:tcPr>
          <w:p>
            <w:pPr>
              <w:spacing w:after="0" w:before="0"/>
            </w:pPr>
            <w:r/>
            <w:r>
              <w:rPr>
                <w:rFonts w:ascii="Aptos" w:hAnsi="Aptos"/>
                <w:b w:val="0"/>
                <w:sz w:val="18"/>
              </w:rPr>
              <w:t>Reuters</w:t>
            </w:r>
          </w:p>
        </w:tc>
        <w:tc>
          <w:tcPr>
            <w:tcW w:type="dxa" w:w="3118"/>
            <w:vAlign w:val="center"/>
            <w:shd w:fill="F3F6FA"/>
          </w:tcPr>
          <w:p>
            <w:pPr>
              <w:spacing w:after="0" w:before="0"/>
            </w:pPr>
            <w:r/>
            <w:r>
              <w:rPr>
                <w:rFonts w:ascii="Aptos" w:hAnsi="Aptos"/>
                <w:b w:val="0"/>
                <w:sz w:val="18"/>
              </w:rPr>
              <w:t>LLM ile oluşturulan etiket</w:t>
            </w:r>
          </w:p>
        </w:tc>
        <w:tc>
          <w:tcPr>
            <w:tcW w:type="dxa" w:w="1134"/>
            <w:vAlign w:val="center"/>
            <w:shd w:fill="F3F6FA"/>
          </w:tcPr>
          <w:p>
            <w:pPr>
              <w:spacing w:after="0" w:before="0"/>
            </w:pPr>
            <w:r/>
            <w:r>
              <w:rPr>
                <w:rFonts w:ascii="Aptos" w:hAnsi="Aptos"/>
                <w:b w:val="0"/>
                <w:sz w:val="18"/>
              </w:rPr>
              <w:t>Hayır</w:t>
            </w:r>
          </w:p>
        </w:tc>
        <w:tc>
          <w:tcPr>
            <w:tcW w:type="dxa" w:w="2268"/>
            <w:vAlign w:val="center"/>
            <w:shd w:fill="F3F6FA"/>
          </w:tcPr>
          <w:p>
            <w:pPr>
              <w:spacing w:after="0" w:before="0"/>
            </w:pPr>
            <w:r/>
            <w:r>
              <w:rPr>
                <w:rFonts w:ascii="Aptos" w:hAnsi="Aptos"/>
                <w:b w:val="0"/>
                <w:sz w:val="18"/>
              </w:rPr>
              <w:t>External test</w:t>
            </w:r>
          </w:p>
        </w:tc>
      </w:tr>
      <w:tr>
        <w:trPr>
          <w:cantSplit/>
        </w:trPr>
        <w:tc>
          <w:tcPr>
            <w:tcW w:type="dxa" w:w="2551"/>
            <w:vAlign w:val="center"/>
          </w:tcPr>
          <w:p>
            <w:pPr>
              <w:spacing w:after="0" w:before="0"/>
            </w:pPr>
            <w:r/>
            <w:r>
              <w:rPr>
                <w:rFonts w:ascii="Aptos" w:hAnsi="Aptos"/>
                <w:b w:val="0"/>
                <w:sz w:val="18"/>
              </w:rPr>
              <w:t>Synthetic</w:t>
            </w:r>
          </w:p>
        </w:tc>
        <w:tc>
          <w:tcPr>
            <w:tcW w:type="dxa" w:w="3118"/>
            <w:vAlign w:val="center"/>
          </w:tcPr>
          <w:p>
            <w:pPr>
              <w:spacing w:after="0" w:before="0"/>
            </w:pPr>
            <w:r/>
            <w:r>
              <w:rPr>
                <w:rFonts w:ascii="Aptos" w:hAnsi="Aptos"/>
                <w:b w:val="0"/>
                <w:sz w:val="18"/>
              </w:rPr>
              <w:t>Etiket koşullu sentetik üretim</w:t>
            </w:r>
          </w:p>
        </w:tc>
        <w:tc>
          <w:tcPr>
            <w:tcW w:type="dxa" w:w="1134"/>
            <w:vAlign w:val="center"/>
          </w:tcPr>
          <w:p>
            <w:pPr>
              <w:spacing w:after="0" w:before="0"/>
            </w:pPr>
            <w:r/>
            <w:r>
              <w:rPr>
                <w:rFonts w:ascii="Aptos" w:hAnsi="Aptos"/>
                <w:b w:val="0"/>
                <w:sz w:val="18"/>
              </w:rPr>
              <w:t>Hayır</w:t>
            </w:r>
          </w:p>
        </w:tc>
        <w:tc>
          <w:tcPr>
            <w:tcW w:type="dxa" w:w="2268"/>
            <w:vAlign w:val="center"/>
          </w:tcPr>
          <w:p>
            <w:pPr>
              <w:spacing w:after="0" w:before="0"/>
            </w:pPr>
            <w:r/>
            <w:r>
              <w:rPr>
                <w:rFonts w:ascii="Aptos" w:hAnsi="Aptos"/>
                <w:b w:val="0"/>
                <w:sz w:val="18"/>
              </w:rPr>
              <w:t>External/controlled test</w:t>
            </w:r>
          </w:p>
        </w:tc>
      </w:tr>
    </w:tbl>
    <w:p>
      <w:pPr>
        <w:spacing w:after="0"/>
      </w:pPr>
    </w:p>
    <w:p>
      <w:r>
        <w:t>Dolayısıyla LLM ile etiketlenen S&amp;P ve Reuters verileri modele eğitim sırasında gösterilmedi. Bu önemli; çünkü aynı veriler train ve testte kullanılmış olsaydı data leakage oluşur ve dış genelleme değerlendirmesinin anlamı kalmazdı.</w:t>
      </w:r>
    </w:p>
    <w:p>
      <w:pPr>
        <w:pStyle w:val="Heading1"/>
        <w:keepNext/>
        <w:spacing w:before="160" w:after="80"/>
      </w:pPr>
      <w:r>
        <w:t>17. Bütün tezin tek bir hikâye halinde özeti</w:t>
      </w:r>
    </w:p>
    <w:p>
      <w:r>
        <w:rPr>
          <w:b/>
          <w:color w:val="17365D"/>
        </w:rPr>
        <w:t xml:space="preserve">1. </w:t>
      </w:r>
      <w:r>
        <w:t>FinBERT finans alanına özel olduğu için en iyi model olmasını bekledik.</w:t>
      </w:r>
    </w:p>
    <w:p>
      <w:r>
        <w:rPr>
          <w:b/>
          <w:color w:val="17365D"/>
        </w:rPr>
        <w:t xml:space="preserve">2. </w:t>
      </w:r>
      <w:r>
        <w:t>Original FinBERT’i fine-tune etmeden denedik; yaklaşık 0.679 Macro-F1 ile tek başına yeterli olmadığını gördük.</w:t>
      </w:r>
    </w:p>
    <w:p>
      <w:r>
        <w:rPr>
          <w:b/>
          <w:color w:val="17365D"/>
        </w:rPr>
        <w:t xml:space="preserve">3. </w:t>
      </w:r>
      <w:r>
        <w:t>Dört modeli hedef göreve fine-tune ettik; FinBERT ciddi biçimde gelişti ama RoBERTa en yüksek iç-test skorunu aldı.</w:t>
      </w:r>
    </w:p>
    <w:p>
      <w:r>
        <w:rPr>
          <w:b/>
          <w:color w:val="17365D"/>
        </w:rPr>
        <w:t xml:space="preserve">4. </w:t>
      </w:r>
      <w:r>
        <w:t>Üç farklı seed ile tekrar ettik; RoBERTa’nın üstünlüğünün tek koşuluk bir tesadüf olmadığını gördük.</w:t>
      </w:r>
    </w:p>
    <w:p>
      <w:r>
        <w:rPr>
          <w:b/>
          <w:color w:val="17365D"/>
        </w:rPr>
        <w:t xml:space="preserve">5. </w:t>
      </w:r>
      <w:r>
        <w:t>S&amp;P gibi farklı bir dış kaynağa çıktık; RoBERTa yine güçlü kaldı fakat performans düştü.</w:t>
      </w:r>
    </w:p>
    <w:p>
      <w:r>
        <w:rPr>
          <w:b/>
          <w:color w:val="17365D"/>
        </w:rPr>
        <w:t xml:space="preserve">6. </w:t>
      </w:r>
      <w:r>
        <w:t>Reuters’a çıktığımızda model sıralaması değişti ve Original FinBERT, fine-tuned FinBERT’i geçti.</w:t>
      </w:r>
    </w:p>
    <w:p>
      <w:r>
        <w:rPr>
          <w:b/>
          <w:color w:val="17365D"/>
        </w:rPr>
        <w:t xml:space="preserve">7. </w:t>
      </w:r>
      <w:r>
        <w:t>Sınıf bazlı analizde özellikle Neutral sınıfının dış dağılımda çöktüğünü gördük.</w:t>
      </w:r>
    </w:p>
    <w:p>
      <w:r>
        <w:rPr>
          <w:b/>
          <w:color w:val="17365D"/>
        </w:rPr>
        <w:t xml:space="preserve">8. </w:t>
      </w:r>
      <w:r>
        <w:t>Bu durum bizi domain shift ve label semantics farklarını tartışmaya götürdü.</w:t>
      </w:r>
    </w:p>
    <w:p>
      <w:r>
        <w:rPr>
          <w:b/>
          <w:color w:val="17365D"/>
        </w:rPr>
        <w:t xml:space="preserve">9. </w:t>
      </w:r>
      <w:r>
        <w:t>PhraseBank ablasyonunda daha fazla finans verisinin her zaman yardımcı olmadığını gördük.</w:t>
      </w:r>
    </w:p>
    <w:p>
      <w:r>
        <w:rPr>
          <w:b/>
          <w:color w:val="17365D"/>
        </w:rPr>
        <w:t xml:space="preserve">10. </w:t>
      </w:r>
      <w:r>
        <w:t>Sentetik veride neredeyse kusursuz skorlar aldık; fakat bunun gerçek dünya genellemesini garanti etmediğini Reuters ile gördük.</w:t>
      </w:r>
    </w:p>
    <w:p>
      <w:r>
        <w:rPr>
          <w:b/>
          <w:color w:val="17365D"/>
        </w:rPr>
        <w:t xml:space="preserve">11. </w:t>
      </w:r>
      <w:r>
        <w:t>Zero-shot NLI modelleri task-specific fine-tuned modellerin gerisinde kaldı.</w:t>
      </w:r>
    </w:p>
    <w:p>
      <w:r>
        <w:rPr>
          <w:b/>
          <w:color w:val="17365D"/>
        </w:rPr>
        <w:t xml:space="preserve">12. </w:t>
      </w:r>
      <w:r>
        <w:t>Verimlilik analizinde DistilBERT hız avantajı, RoBERTa ise doğruluk avantajı sundu.</w:t>
      </w:r>
    </w:p>
    <w:p>
      <w:pPr>
        <w:pStyle w:val="Heading1"/>
        <w:keepNext/>
        <w:pageBreakBefore w:val="0"/>
        <w:spacing w:before="160" w:after="80"/>
      </w:pPr>
      <w:r>
        <w:t>18. Savunmada ana sonuç olarak ne söylemeliyim?</w:t>
      </w:r>
    </w:p>
    <w:p>
      <w:pPr>
        <w:pStyle w:val="SavunmaCümlesi"/>
        <w:keepNext w:val="0"/>
        <w:keepLines/>
      </w:pPr>
      <w:r>
        <w:rPr>
          <w:b/>
        </w:rPr>
        <w:t xml:space="preserve">Ana sonuç: </w:t>
      </w:r>
      <w:r>
        <w:t>“Bu çalışma, finansal sentiment analizinde alan-özgü ön eğitimin ve yüksek iç-test performansının tek başına gerçek dünya genellemesini garanti etmediğini göstermektedir. Task-specific fine-tuning iç dağılımda performansı ciddi biçimde artırabilmekte; ancak farklı finansal veri kaynaklarında domain shift ve etiket semantiği nedeniyle bu avantaj azalabilmekte, hatta bazı durumlarda tersine dönebilmektedir.”</w:t>
      </w:r>
    </w:p>
    <w:p>
      <w:pPr>
        <w:pStyle w:val="Heading1"/>
        <w:keepNext/>
        <w:spacing w:before="160" w:after="80"/>
      </w:pPr>
      <w:r>
        <w:t>19. Savunmada hızlı hatırlatma – olası kısa sorular</w:t>
      </w:r>
    </w:p>
    <w:tbl>
      <w:tblPr>
        <w:tblStyle w:val="TableGrid"/>
        <w:tblW w:type="auto" w:w="0"/>
        <w:jc w:val="center"/>
        <w:tblLook w:firstColumn="1" w:firstRow="1" w:lastColumn="0" w:lastRow="0" w:noHBand="0" w:noVBand="1" w:val="04A0"/>
      </w:tblPr>
      <w:tblGrid>
        <w:gridCol w:w="4986"/>
        <w:gridCol w:w="4986"/>
      </w:tblGrid>
      <w:tr>
        <w:trPr>
          <w:cantSplit/>
        </w:trPr>
        <w:tc>
          <w:tcPr>
            <w:tcW w:type="dxa" w:w="3118"/>
            <w:vAlign w:val="center"/>
            <w:shd w:fill="365F91"/>
          </w:tcPr>
          <w:p>
            <w:pPr>
              <w:spacing w:after="0" w:before="0"/>
            </w:pPr>
            <w:r/>
            <w:r>
              <w:rPr>
                <w:rFonts w:ascii="Aptos" w:hAnsi="Aptos"/>
                <w:b/>
                <w:color w:val="FFFFFF"/>
                <w:sz w:val="18"/>
              </w:rPr>
              <w:t>Soru</w:t>
            </w:r>
          </w:p>
        </w:tc>
        <w:tc>
          <w:tcPr>
            <w:tcW w:type="dxa" w:w="5953"/>
            <w:vAlign w:val="center"/>
            <w:shd w:fill="365F91"/>
          </w:tcPr>
          <w:p>
            <w:pPr>
              <w:spacing w:after="0" w:before="0"/>
            </w:pPr>
            <w:r/>
            <w:r>
              <w:rPr>
                <w:rFonts w:ascii="Aptos" w:hAnsi="Aptos"/>
                <w:b/>
                <w:color w:val="FFFFFF"/>
                <w:sz w:val="18"/>
              </w:rPr>
              <w:t>Kısa cevap</w:t>
            </w:r>
          </w:p>
        </w:tc>
      </w:tr>
      <w:tr>
        <w:trPr>
          <w:cantSplit/>
        </w:trPr>
        <w:tc>
          <w:tcPr>
            <w:tcW w:type="dxa" w:w="3118"/>
            <w:vAlign w:val="center"/>
          </w:tcPr>
          <w:p>
            <w:pPr>
              <w:spacing w:after="0" w:before="0"/>
            </w:pPr>
            <w:r/>
            <w:r>
              <w:rPr>
                <w:rFonts w:ascii="Aptos" w:hAnsi="Aptos"/>
                <w:b w:val="0"/>
                <w:sz w:val="18"/>
              </w:rPr>
              <w:t>Neden Macro-F1?</w:t>
            </w:r>
          </w:p>
        </w:tc>
        <w:tc>
          <w:tcPr>
            <w:tcW w:type="dxa" w:w="5953"/>
            <w:vAlign w:val="center"/>
          </w:tcPr>
          <w:p>
            <w:pPr>
              <w:spacing w:after="0" w:before="0"/>
            </w:pPr>
            <w:r/>
            <w:r>
              <w:rPr>
                <w:rFonts w:ascii="Aptos" w:hAnsi="Aptos"/>
                <w:b w:val="0"/>
                <w:sz w:val="18"/>
              </w:rPr>
              <w:t>Sınıflar dengesizdi; Macro-F1 her sınıfa eşit ağırlık veriyor.</w:t>
            </w:r>
          </w:p>
        </w:tc>
      </w:tr>
      <w:tr>
        <w:trPr>
          <w:cantSplit/>
        </w:trPr>
        <w:tc>
          <w:tcPr>
            <w:tcW w:type="dxa" w:w="3118"/>
            <w:vAlign w:val="center"/>
            <w:shd w:fill="F3F6FA"/>
          </w:tcPr>
          <w:p>
            <w:pPr>
              <w:spacing w:after="0" w:before="0"/>
            </w:pPr>
            <w:r/>
            <w:r>
              <w:rPr>
                <w:rFonts w:ascii="Aptos" w:hAnsi="Aptos"/>
                <w:b w:val="0"/>
                <w:sz w:val="18"/>
              </w:rPr>
              <w:t>Neden Original FinBERT?</w:t>
            </w:r>
          </w:p>
        </w:tc>
        <w:tc>
          <w:tcPr>
            <w:tcW w:type="dxa" w:w="5953"/>
            <w:vAlign w:val="center"/>
            <w:shd w:fill="F3F6FA"/>
          </w:tcPr>
          <w:p>
            <w:pPr>
              <w:spacing w:after="0" w:before="0"/>
            </w:pPr>
            <w:r/>
            <w:r>
              <w:rPr>
                <w:rFonts w:ascii="Aptos" w:hAnsi="Aptos"/>
                <w:b w:val="0"/>
                <w:sz w:val="18"/>
              </w:rPr>
              <w:t>Fine-tuning olmadan domain-specific pretraining’in baseline performansını görmek için.</w:t>
            </w:r>
          </w:p>
        </w:tc>
      </w:tr>
      <w:tr>
        <w:trPr>
          <w:cantSplit/>
        </w:trPr>
        <w:tc>
          <w:tcPr>
            <w:tcW w:type="dxa" w:w="3118"/>
            <w:vAlign w:val="center"/>
          </w:tcPr>
          <w:p>
            <w:pPr>
              <w:spacing w:after="0" w:before="0"/>
            </w:pPr>
            <w:r/>
            <w:r>
              <w:rPr>
                <w:rFonts w:ascii="Aptos" w:hAnsi="Aptos"/>
                <w:b w:val="0"/>
                <w:sz w:val="18"/>
              </w:rPr>
              <w:t>Neden birden fazla seed?</w:t>
            </w:r>
          </w:p>
        </w:tc>
        <w:tc>
          <w:tcPr>
            <w:tcW w:type="dxa" w:w="5953"/>
            <w:vAlign w:val="center"/>
          </w:tcPr>
          <w:p>
            <w:pPr>
              <w:spacing w:after="0" w:before="0"/>
            </w:pPr>
            <w:r/>
            <w:r>
              <w:rPr>
                <w:rFonts w:ascii="Aptos" w:hAnsi="Aptos"/>
                <w:b w:val="0"/>
                <w:sz w:val="18"/>
              </w:rPr>
              <w:t>Sonucun random başlangıç koşullarına bağlı olmadığını kontrol etmek için.</w:t>
            </w:r>
          </w:p>
        </w:tc>
      </w:tr>
      <w:tr>
        <w:trPr>
          <w:cantSplit/>
        </w:trPr>
        <w:tc>
          <w:tcPr>
            <w:tcW w:type="dxa" w:w="3118"/>
            <w:vAlign w:val="center"/>
            <w:shd w:fill="F3F6FA"/>
          </w:tcPr>
          <w:p>
            <w:pPr>
              <w:spacing w:after="0" w:before="0"/>
            </w:pPr>
            <w:r/>
            <w:r>
              <w:rPr>
                <w:rFonts w:ascii="Aptos" w:hAnsi="Aptos"/>
                <w:b w:val="0"/>
                <w:sz w:val="18"/>
              </w:rPr>
              <w:t>Neden S&amp;P ve Reuters?</w:t>
            </w:r>
          </w:p>
        </w:tc>
        <w:tc>
          <w:tcPr>
            <w:tcW w:type="dxa" w:w="5953"/>
            <w:vAlign w:val="center"/>
            <w:shd w:fill="F3F6FA"/>
          </w:tcPr>
          <w:p>
            <w:pPr>
              <w:spacing w:after="0" w:before="0"/>
            </w:pPr>
            <w:r/>
            <w:r>
              <w:rPr>
                <w:rFonts w:ascii="Aptos" w:hAnsi="Aptos"/>
                <w:b w:val="0"/>
                <w:sz w:val="18"/>
              </w:rPr>
              <w:t>Modelin training dağılımı dışındaki finans haberlerine genellemesini test etmek için.</w:t>
            </w:r>
          </w:p>
        </w:tc>
      </w:tr>
      <w:tr>
        <w:trPr>
          <w:cantSplit/>
        </w:trPr>
        <w:tc>
          <w:tcPr>
            <w:tcW w:type="dxa" w:w="3118"/>
            <w:vAlign w:val="center"/>
          </w:tcPr>
          <w:p>
            <w:pPr>
              <w:spacing w:after="0" w:before="0"/>
            </w:pPr>
            <w:r/>
            <w:r>
              <w:rPr>
                <w:rFonts w:ascii="Aptos" w:hAnsi="Aptos"/>
                <w:b w:val="0"/>
                <w:sz w:val="18"/>
              </w:rPr>
              <w:t>S&amp;P/Reuters train’e girdi mi?</w:t>
            </w:r>
          </w:p>
        </w:tc>
        <w:tc>
          <w:tcPr>
            <w:tcW w:type="dxa" w:w="5953"/>
            <w:vAlign w:val="center"/>
          </w:tcPr>
          <w:p>
            <w:pPr>
              <w:spacing w:after="0" w:before="0"/>
            </w:pPr>
            <w:r/>
            <w:r>
              <w:rPr>
                <w:rFonts w:ascii="Aptos" w:hAnsi="Aptos"/>
                <w:b w:val="0"/>
                <w:sz w:val="18"/>
              </w:rPr>
              <w:t>Hayır. Sadece external evaluation için kullanıldı.</w:t>
            </w:r>
          </w:p>
        </w:tc>
      </w:tr>
      <w:tr>
        <w:trPr>
          <w:cantSplit/>
        </w:trPr>
        <w:tc>
          <w:tcPr>
            <w:tcW w:type="dxa" w:w="3118"/>
            <w:vAlign w:val="center"/>
            <w:shd w:fill="F3F6FA"/>
          </w:tcPr>
          <w:p>
            <w:pPr>
              <w:spacing w:after="0" w:before="0"/>
            </w:pPr>
            <w:r/>
            <w:r>
              <w:rPr>
                <w:rFonts w:ascii="Aptos" w:hAnsi="Aptos"/>
                <w:b w:val="0"/>
                <w:sz w:val="18"/>
              </w:rPr>
              <w:t>Reuters neden önemli?</w:t>
            </w:r>
          </w:p>
        </w:tc>
        <w:tc>
          <w:tcPr>
            <w:tcW w:type="dxa" w:w="5953"/>
            <w:vAlign w:val="center"/>
            <w:shd w:fill="F3F6FA"/>
          </w:tcPr>
          <w:p>
            <w:pPr>
              <w:spacing w:after="0" w:before="0"/>
            </w:pPr>
            <w:r/>
            <w:r>
              <w:rPr>
                <w:rFonts w:ascii="Aptos" w:hAnsi="Aptos"/>
                <w:b w:val="0"/>
                <w:sz w:val="18"/>
              </w:rPr>
              <w:t>Fine-tuned FinBERT’in Original FinBERT’in gerisine düştüğü ve iç-test sıralamasının bozulduğu en güçlü domain-shift örneği.</w:t>
            </w:r>
          </w:p>
        </w:tc>
      </w:tr>
      <w:tr>
        <w:trPr>
          <w:cantSplit/>
        </w:trPr>
        <w:tc>
          <w:tcPr>
            <w:tcW w:type="dxa" w:w="3118"/>
            <w:vAlign w:val="center"/>
          </w:tcPr>
          <w:p>
            <w:pPr>
              <w:spacing w:after="0" w:before="0"/>
            </w:pPr>
            <w:r/>
            <w:r>
              <w:rPr>
                <w:rFonts w:ascii="Aptos" w:hAnsi="Aptos"/>
                <w:b w:val="0"/>
                <w:sz w:val="18"/>
              </w:rPr>
              <w:t>PhraseBank neden eklenmişti?</w:t>
            </w:r>
          </w:p>
        </w:tc>
        <w:tc>
          <w:tcPr>
            <w:tcW w:type="dxa" w:w="5953"/>
            <w:vAlign w:val="center"/>
          </w:tcPr>
          <w:p>
            <w:pPr>
              <w:spacing w:after="0" w:before="0"/>
            </w:pPr>
            <w:r/>
            <w:r>
              <w:rPr>
                <w:rFonts w:ascii="Aptos" w:hAnsi="Aptos"/>
                <w:b w:val="0"/>
                <w:sz w:val="18"/>
              </w:rPr>
              <w:t>Daha fazla finansal etiketli verinin faydasını görmek için; fakat ablation sonuçları her zaman fayda sağlamadığını gösterdi.</w:t>
            </w:r>
          </w:p>
        </w:tc>
      </w:tr>
      <w:tr>
        <w:trPr>
          <w:cantSplit/>
        </w:trPr>
        <w:tc>
          <w:tcPr>
            <w:tcW w:type="dxa" w:w="3118"/>
            <w:vAlign w:val="center"/>
            <w:shd w:fill="F3F6FA"/>
          </w:tcPr>
          <w:p>
            <w:pPr>
              <w:spacing w:after="0" w:before="0"/>
            </w:pPr>
            <w:r/>
            <w:r>
              <w:rPr>
                <w:rFonts w:ascii="Aptos" w:hAnsi="Aptos"/>
                <w:b w:val="0"/>
                <w:sz w:val="18"/>
              </w:rPr>
              <w:t>Sentetik veri neden var?</w:t>
            </w:r>
          </w:p>
        </w:tc>
        <w:tc>
          <w:tcPr>
            <w:tcW w:type="dxa" w:w="5953"/>
            <w:vAlign w:val="center"/>
            <w:shd w:fill="F3F6FA"/>
          </w:tcPr>
          <w:p>
            <w:pPr>
              <w:spacing w:after="0" w:before="0"/>
            </w:pPr>
            <w:r/>
            <w:r>
              <w:rPr>
                <w:rFonts w:ascii="Aptos" w:hAnsi="Aptos"/>
                <w:b w:val="0"/>
                <w:sz w:val="18"/>
              </w:rPr>
              <w:t>Kontrollü/dengeli bir benchmark sağlamak için; fakat sonuçlar bunun gerçek-world genellemeyi temsil etmediğini gösterdi.</w:t>
            </w:r>
          </w:p>
        </w:tc>
      </w:tr>
      <w:tr>
        <w:trPr>
          <w:cantSplit/>
        </w:trPr>
        <w:tc>
          <w:tcPr>
            <w:tcW w:type="dxa" w:w="3118"/>
            <w:vAlign w:val="center"/>
          </w:tcPr>
          <w:p>
            <w:pPr>
              <w:spacing w:after="0" w:before="0"/>
            </w:pPr>
            <w:r/>
            <w:r>
              <w:rPr>
                <w:rFonts w:ascii="Aptos" w:hAnsi="Aptos"/>
                <w:b w:val="0"/>
                <w:sz w:val="18"/>
              </w:rPr>
              <w:t>Zero-shot neden var?</w:t>
            </w:r>
          </w:p>
        </w:tc>
        <w:tc>
          <w:tcPr>
            <w:tcW w:type="dxa" w:w="5953"/>
            <w:vAlign w:val="center"/>
          </w:tcPr>
          <w:p>
            <w:pPr>
              <w:spacing w:after="0" w:before="0"/>
            </w:pPr>
            <w:r/>
            <w:r>
              <w:rPr>
                <w:rFonts w:ascii="Aptos" w:hAnsi="Aptos"/>
                <w:b w:val="0"/>
                <w:sz w:val="18"/>
              </w:rPr>
              <w:t>Task-specific fine-tuning olmadan genel NLI yeteneğinin yeterli olup olmadığını görmek için.</w:t>
            </w:r>
          </w:p>
        </w:tc>
      </w:tr>
      <w:tr>
        <w:trPr>
          <w:cantSplit/>
        </w:trPr>
        <w:tc>
          <w:tcPr>
            <w:tcW w:type="dxa" w:w="3118"/>
            <w:vAlign w:val="center"/>
            <w:shd w:fill="F3F6FA"/>
          </w:tcPr>
          <w:p>
            <w:pPr>
              <w:spacing w:after="0" w:before="0"/>
            </w:pPr>
            <w:r/>
            <w:r>
              <w:rPr>
                <w:rFonts w:ascii="Aptos" w:hAnsi="Aptos"/>
                <w:b w:val="0"/>
                <w:sz w:val="18"/>
              </w:rPr>
              <w:t>En hızlı model?</w:t>
            </w:r>
          </w:p>
        </w:tc>
        <w:tc>
          <w:tcPr>
            <w:tcW w:type="dxa" w:w="5953"/>
            <w:vAlign w:val="center"/>
            <w:shd w:fill="F3F6FA"/>
          </w:tcPr>
          <w:p>
            <w:pPr>
              <w:spacing w:after="0" w:before="0"/>
            </w:pPr>
            <w:r/>
            <w:r>
              <w:rPr>
                <w:rFonts w:ascii="Aptos" w:hAnsi="Aptos"/>
                <w:b w:val="0"/>
                <w:sz w:val="18"/>
              </w:rPr>
              <w:t>DistilBERT; BERT’e göre yaklaşık 2.24 kat throughput avantajı gösterdi.</w:t>
            </w:r>
          </w:p>
        </w:tc>
      </w:tr>
    </w:tbl>
    <w:p>
      <w:pPr>
        <w:spacing w:after="0"/>
      </w:pP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Tez Savunma Çalışma Notu</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65F9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avunmaCümlesi">
    <w:name w:val="Savunma Cümlesi"/>
    <w:pPr>
      <w:spacing w:before="80" w:after="160"/>
      <w:ind w:left="340" w:right="113"/>
    </w:pPr>
    <w:rPr>
      <w:rFonts w:ascii="Aptos" w:hAnsi="Aptos"/>
      <w:i/>
      <w:color w:val="373737"/>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