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Finansal Duygu Analizinde Transformer Modellerinin Karşılaştırılması Ve Yeni Bir Model Geliştirilmesi</w:t>
      </w:r>
    </w:p>
    <w:p>
      <w:r>
        <w:rPr>
          <w:b/>
          <w:bCs/>
          <w:i w:val="false"/>
          <w:iCs w:val="false"/>
          <w:color w:val="000000"/>
        </w:rPr>
        <w:t xml:space="preserve">Serkan Kaymak¹, Mansur Alp Toçoğlu¹</w:t>
      </w:r>
    </w:p>
    <w:p>
      <w:r>
        <w:rPr>
          <w:b/>
          <w:bCs/>
          <w:i w:val="false"/>
          <w:iCs w:val="false"/>
          <w:color w:val="000000"/>
        </w:rPr>
        <w:t xml:space="preserve">¹ İzmir Kâtip Çelebi Üniversitesi, Fen Bilimleri Enstitüsü, Yazılım Mühendisliği Anabilim Dalı</w:t>
      </w:r>
    </w:p>
    <w:p>
      <w:r>
        <w:rPr>
          <w:b/>
          <w:bCs/>
          <w:i w:val="false"/>
          <w:iCs w:val="false"/>
          <w:color w:val="000000"/>
        </w:rPr>
        <w:t xml:space="preserve">Öz</w:t>
      </w:r>
    </w:p>
    <w:p>
      <w:r>
        <w:rPr>
          <w:b/>
          <w:bCs/>
          <w:i w:val="false"/>
          <w:iCs w:val="false"/>
          <w:color w:val="000000"/>
        </w:rPr>
        <w:t xml:space="preserve">Finansal metinlerin otomatik duygu sınıflandırmasında alan-özgü ön eğitim ile hedef veri setine özgü ince ayarın birlikte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tüm ince ayarlı modelleri güçlü biçimde aşmıştır.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değil, modeller arası göreli karşılaştırma olarak yorumlanmalıdır.</w:t>
      </w:r>
    </w:p>
    <w:p>
      <w:r>
        <w:rPr>
          <w:b/>
          <w:bCs/>
          <w:i w:val="false"/>
          <w:iCs w:val="false"/>
          <w:color w:val="000000"/>
        </w:rPr>
        <w:t xml:space="preserve">Anahtar Sözcükler: finansal duygu analizi, FinBERT, BERT, RoBERTa, DistilBERT, ince ayar, model genellemesi, alan kayması, Transformer, etiketleme rubriği</w:t>
      </w:r>
    </w:p>
    <w:p>
      <w:r>
        <w:rPr>
          <w:b/>
          <w:bCs/>
          <w:i w:val="false"/>
          <w:iCs w:val="false"/>
          <w:color w:val="000000"/>
        </w:rPr>
        <w:t xml:space="preserve">1. Giriş</w:t>
      </w:r>
    </w:p>
    <w:p>
      <w:r>
        <w:rPr>
          <w:b/>
          <w:bCs/>
          <w:i w:val="false"/>
          <w:iCs w:val="false"/>
          <w:color w:val="000000"/>
        </w:rPr>
        <w:t xml:space="preserve">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w:t>
      </w:r>
      <w:sdt>
        <w:sdtPr>
          <w:tag w:val="CITATION LoughranT11"/>
          <w:id w:val="1613877652"/>
          <w:citation/>
        </w:sdtPr>
        <w:sdtContent>
          <w:r>
            <w:fldChar w:fldCharType="begin"/>
          </w:r>
          <w:r>
            <w:instrText xml:space="preserve"> CITATION LoughranT11 \l 1033 </w:instrText>
          </w:r>
          <w:r>
            <w:fldChar w:fldCharType="separate"/>
          </w:r>
          <w:r>
            <w:rPr>
              <w:noProof/>
            </w:rPr>
            <w:t xml:space="preserve">(Loughran &amp; McDonald, 2011)</w:t>
          </w:r>
          <w:r>
            <w:fldChar w:fldCharType="end"/>
          </w:r>
        </w:sdtContent>
      </w:sdt>
      <w:r>
        <w:rPr>
          <w:b/>
          <w:bCs/>
          <w:i w:val="false"/>
          <w:iCs w:val="false"/>
          <w:color w:val="000000"/>
        </w:rPr>
        <w:t xml:space="preserve">. Ayrıca farklı veri setleri aynı "olumlu, tarafsız, olumsuz" sınıf adları altında farklı karar kuralları kullanabilmektedir; dilsel ton, ekonomik etki ve yükseliş-düşüş beklentisi etiketleme ölçütleri arasında belirgin bir uyuşmazlık bulunur.</w:t>
      </w:r>
    </w:p>
    <w:p>
      <w:r>
        <w:rPr>
          <w:b/>
          <w:bCs/>
          <w:i w:val="false"/>
          <w:iCs w:val="false"/>
          <w:color w:val="000000"/>
        </w:rPr>
        <w:t xml:space="preserve">Finans alanına uyarlanmış modeller, örneğin Araci'nin FinBERT'i, alan terminolojisini öğrenerek güçlü bir başlangıç noktası sunar </w:t>
      </w:r>
      <w:sdt>
        <w:sdtPr>
          <w:tag w:val="CITATION AraciD19"/>
          <w:id w:val="1538438908"/>
          <w:citation/>
        </w:sdtPr>
        <w:sdtContent>
          <w:r>
            <w:fldChar w:fldCharType="begin"/>
          </w:r>
          <w:r>
            <w:instrText xml:space="preserve"> CITATION AraciD19 \l 1033 </w:instrText>
          </w:r>
          <w:r>
            <w:fldChar w:fldCharType="separate"/>
          </w:r>
          <w:r>
            <w:rPr>
              <w:noProof/>
            </w:rPr>
            <w:t xml:space="preserve">(Araci, 2019)</w:t>
          </w:r>
          <w:r>
            <w:fldChar w:fldCharType="end"/>
          </w:r>
        </w:sdtContent>
      </w:sdt>
      <w:r>
        <w:rPr>
          <w:b/>
          <w:bCs/>
          <w:i w:val="false"/>
          <w:iCs w:val="false"/>
          <w:color w:val="000000"/>
        </w:rPr>
        <w:t xml:space="preserve">.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karşılık gelen beş hipotez (H1–H5) ilgili bölümlerde test edilmiş ve sonuç bölümünde özetlenmiştir.</w:t>
      </w:r>
    </w:p>
    <w:p>
      <w:r>
        <w:rPr>
          <w:b/>
          <w:bCs/>
          <w:i w:val="false"/>
          <w:iCs w:val="false"/>
          <w:color w:val="000000"/>
        </w:rPr>
        <w:t xml:space="preserve">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r>
        <w:rPr>
          <w:b/>
          <w:bCs/>
          <w:i w:val="false"/>
          <w:iCs w:val="false"/>
          <w:color w:val="000000"/>
        </w:rPr>
        <w:t xml:space="preserve">2. İlgili Çalışmalar</w:t>
      </w:r>
    </w:p>
    <w:p>
      <w:r>
        <w:rPr>
          <w:b/>
          <w:bCs/>
          <w:i w:val="false"/>
          <w:iCs w:val="false"/>
          <w:color w:val="000000"/>
        </w:rPr>
        <w:t xml:space="preserve">2.1. Finansal duygu analizi ve sözlük yaklaşımları</w:t>
      </w:r>
    </w:p>
    <w:p>
      <w:r>
        <w:rPr>
          <w:b/>
          <w:bCs/>
          <w:i w:val="false"/>
          <w:iCs w:val="false"/>
          <w:color w:val="000000"/>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w:t>
      </w:r>
      <w:sdt>
        <w:sdtPr>
          <w:tag w:val="CITATION LoughranT11"/>
          <w:id w:val="1894246309"/>
          <w:citation/>
        </w:sdtPr>
        <w:sdtContent>
          <w:r>
            <w:fldChar w:fldCharType="begin"/>
          </w:r>
          <w:r>
            <w:instrText xml:space="preserve"> CITATION LoughranT11 \l 1033 </w:instrText>
          </w:r>
          <w:r>
            <w:fldChar w:fldCharType="separate"/>
          </w:r>
          <w:r>
            <w:rPr>
              <w:noProof/>
            </w:rPr>
            <w:t xml:space="preserve">(Loughran &amp; McDonald, 2011)</w:t>
          </w:r>
          <w:r>
            <w:fldChar w:fldCharType="end"/>
          </w:r>
        </w:sdtContent>
      </w:sdt>
      <w:r>
        <w:rPr>
          <w:b/>
          <w:bCs/>
          <w:i w:val="false"/>
          <w:iCs w:val="false"/>
          <w:color w:val="000000"/>
        </w:rPr>
        <w:t xml:space="preserve">. Sözlük yaklaşımları sözcük sırası, olumsuzlama, hedef varlık ve karışık bilgi gibi bağlamsal unsurları sınırlı temsil ettiğinden, bağlamsal dil modelleri öne çıkmıştır. Alanın temel karşılaştırma ölçütlerinden Financial PhraseBank, uzmanlar tarafından etiketlenen finans haber cümlelerinden oluşur </w:t>
      </w:r>
      <w:sdt>
        <w:sdtPr>
          <w:tag w:val="CITATION MaloP13"/>
          <w:id w:val="376603316"/>
          <w:citation/>
        </w:sdtPr>
        <w:sdtContent>
          <w:r>
            <w:fldChar w:fldCharType="begin"/>
          </w:r>
          <w:r>
            <w:instrText xml:space="preserve"> CITATION MaloP13 \l 1033 </w:instrText>
          </w:r>
          <w:r>
            <w:fldChar w:fldCharType="separate"/>
          </w:r>
          <w:r>
            <w:rPr>
              <w:noProof/>
            </w:rPr>
            <w:t xml:space="preserve">(Malo et al., 2013)</w:t>
          </w:r>
          <w:r>
            <w:fldChar w:fldCharType="end"/>
          </w:r>
        </w:sdtContent>
      </w:sdt>
      <w:r>
        <w:rPr>
          <w:b/>
          <w:bCs/>
          <w:i w:val="false"/>
          <w:iCs w:val="false"/>
          <w:color w:val="000000"/>
        </w:rPr>
        <w:t xml:space="preserve">.</w:t>
      </w:r>
    </w:p>
    <w:p>
      <w:r>
        <w:rPr>
          <w:b/>
          <w:bCs/>
          <w:i w:val="false"/>
          <w:iCs w:val="false"/>
          <w:color w:val="000000"/>
        </w:rPr>
        <w:t xml:space="preserve">2.2. Transformer tabanlı modeller ve model aileleri</w:t>
      </w:r>
    </w:p>
    <w:p>
      <w:r>
        <w:rPr>
          <w:b/>
          <w:bCs/>
          <w:i w:val="false"/>
          <w:iCs w:val="false"/>
          <w:color w:val="000000"/>
        </w:rPr>
        <w:t xml:space="preserve">BERT, maskeli dil modelleme amacıyla çift yönlü bağlamsal temsiller öğrenmiş ve çoğu doğal dil işleme görevinde minimal görev-özel mimari değişiklikle en yüksek performansa ulaşmıştır </w:t>
      </w:r>
      <w:sdt>
        <w:sdtPr>
          <w:tag w:val="CITATION DevlinJ19"/>
          <w:id w:val="2027908155"/>
          <w:citation/>
        </w:sdtPr>
        <w:sdtContent>
          <w:r>
            <w:fldChar w:fldCharType="begin"/>
          </w:r>
          <w:r>
            <w:instrText xml:space="preserve"> CITATION DevlinJ19 \l 1033 </w:instrText>
          </w:r>
          <w:r>
            <w:fldChar w:fldCharType="separate"/>
          </w:r>
          <w:r>
            <w:rPr>
              <w:noProof/>
            </w:rPr>
            <w:t xml:space="preserve">(Devlin et al., 2019)</w:t>
          </w:r>
          <w:r>
            <w:fldChar w:fldCharType="end"/>
          </w:r>
        </w:sdtContent>
      </w:sdt>
      <w:r>
        <w:rPr>
          <w:b/>
          <w:bCs/>
          <w:i w:val="false"/>
          <w:iCs w:val="false"/>
          <w:color w:val="000000"/>
        </w:rPr>
        <w:t xml:space="preserve">. Araci, genel BERT modelini finansal metinlerde ince ayar yoluyla FinBERT'e dönüştürmüş ve finansal duygu veri setlerinde güçlü sonuçlar elde etmiştir </w:t>
      </w:r>
      <w:sdt>
        <w:sdtPr>
          <w:tag w:val="CITATION AraciD19"/>
          <w:id w:val="938497547"/>
          <w:citation/>
        </w:sdtPr>
        <w:sdtContent>
          <w:r>
            <w:fldChar w:fldCharType="begin"/>
          </w:r>
          <w:r>
            <w:instrText xml:space="preserve"> CITATION AraciD19 \l 1033 </w:instrText>
          </w:r>
          <w:r>
            <w:fldChar w:fldCharType="separate"/>
          </w:r>
          <w:r>
            <w:rPr>
              <w:noProof/>
            </w:rPr>
            <w:t xml:space="preserve">(Araci, 2019)</w:t>
          </w:r>
          <w:r>
            <w:fldChar w:fldCharType="end"/>
          </w:r>
        </w:sdtContent>
      </w:sdt>
      <w:r>
        <w:rPr>
          <w:b/>
          <w:bCs/>
          <w:i w:val="false"/>
          <w:iCs w:val="false"/>
          <w:color w:val="000000"/>
        </w:rPr>
        <w:t xml:space="preserve">. Yang ve arkadaşları ise büyük ölçekli finansal iletişim metinleriyle ön eğitilen bir FinBERT sürümü sunmuş ve genel amaçlı BERT'e göre üstünlüğünü finansal sınıflandırma görevlerinde göstermiştir </w:t>
      </w:r>
      <w:sdt>
        <w:sdtPr>
          <w:tag w:val="CITATION YangY20"/>
          <w:id w:val="1361383683"/>
          <w:citation/>
        </w:sdtPr>
        <w:sdtContent>
          <w:r>
            <w:fldChar w:fldCharType="begin"/>
          </w:r>
          <w:r>
            <w:instrText xml:space="preserve"> CITATION YangY20 \l 1033 </w:instrText>
          </w:r>
          <w:r>
            <w:fldChar w:fldCharType="separate"/>
          </w:r>
          <w:r>
            <w:rPr>
              <w:noProof/>
            </w:rPr>
            <w:t xml:space="preserve">(Yang et al., 2020)</w:t>
          </w:r>
          <w:r>
            <w:fldChar w:fldCharType="end"/>
          </w:r>
        </w:sdtContent>
      </w:sdt>
      <w:r>
        <w:rPr>
          <w:b/>
          <w:bCs/>
          <w:i w:val="false"/>
          <w:iCs w:val="false"/>
          <w:color w:val="000000"/>
        </w:rPr>
        <w:t xml:space="preserve">. RoBERTa, BERT ön eğitim prosedürünü daha fazla veri, dinamik maskeleme, NSP kaybının kaldırılması ve daha büyük yığın boyutlarıyla optimize etmiştir </w:t>
      </w:r>
      <w:sdt>
        <w:sdtPr>
          <w:tag w:val="CITATION LiuY19"/>
          <w:id w:val="550281117"/>
          <w:citation/>
        </w:sdtPr>
        <w:sdtContent>
          <w:r>
            <w:fldChar w:fldCharType="begin"/>
          </w:r>
          <w:r>
            <w:instrText xml:space="preserve"> CITATION LiuY19 \l 1033 </w:instrText>
          </w:r>
          <w:r>
            <w:fldChar w:fldCharType="separate"/>
          </w:r>
          <w:r>
            <w:rPr>
              <w:noProof/>
            </w:rPr>
            <w:t xml:space="preserve">(Liu, 2019)</w:t>
          </w:r>
          <w:r>
            <w:fldChar w:fldCharType="end"/>
          </w:r>
        </w:sdtContent>
      </w:sdt>
      <w:r>
        <w:rPr>
          <w:b/>
          <w:bCs/>
          <w:i w:val="false"/>
          <w:iCs w:val="false"/>
          <w:color w:val="000000"/>
        </w:rPr>
        <w:t xml:space="preserve">. DistilBERT ise bilgi damıtma yoluyla BERT'in boyutunu %40 azaltırken dil anlama kapasitesinin %97'sini koruyan ve %60 daha hızlı bir sürümünü sunar </w:t>
      </w:r>
      <w:sdt>
        <w:sdtPr>
          <w:tag w:val="CITATION JohannaS19"/>
          <w:id w:val="1272659151"/>
          <w:citation/>
        </w:sdtPr>
        <w:sdtContent>
          <w:r>
            <w:fldChar w:fldCharType="begin"/>
          </w:r>
          <w:r>
            <w:instrText xml:space="preserve"> CITATION JohannaS19 \l 1033 </w:instrText>
          </w:r>
          <w:r>
            <w:fldChar w:fldCharType="separate"/>
          </w:r>
          <w:r>
            <w:rPr>
              <w:noProof/>
            </w:rPr>
            <w:t xml:space="preserve">(Johanna et al., 2019)</w:t>
          </w:r>
          <w:r>
            <w:fldChar w:fldCharType="end"/>
          </w:r>
        </w:sdtContent>
      </w:sdt>
      <w:r>
        <w:rPr>
          <w:b/>
          <w:bCs/>
          <w:i w:val="false"/>
          <w:iCs w:val="false"/>
          <w:color w:val="000000"/>
        </w:rPr>
        <w:t xml:space="preserve">.</w:t>
      </w:r>
    </w:p>
    <w:p>
      <w:r>
        <w:rPr>
          <w:b/>
          <w:bCs/>
          <w:i w:val="false"/>
          <w:iCs w:val="false"/>
          <w:color w:val="000000"/>
        </w:rPr>
        <w:t xml:space="preserve">2.3. Sıfır örnekli sınıflandırma</w:t>
      </w:r>
    </w:p>
    <w:p>
      <w:r>
        <w:rPr>
          <w:b/>
          <w:bCs/>
          <w:i w:val="false"/>
          <w:iCs w:val="false"/>
          <w:color w:val="000000"/>
        </w:rPr>
        <w:t xml:space="preserve">NLI tabanlı sıfır örnekli sınıflandırma, hedef göreve ait etiketli eğitim örneği olmadan tahmin yapmayı amaçlar ve düşük maliyetli bir başlangıç ölçütü sağlar </w:t>
      </w:r>
      <w:sdt>
        <w:sdtPr>
          <w:tag w:val="CITATION StorksS19"/>
          <w:id w:val="1954779513"/>
          <w:citation/>
        </w:sdtPr>
        <w:sdtContent>
          <w:r>
            <w:fldChar w:fldCharType="begin"/>
          </w:r>
          <w:r>
            <w:instrText xml:space="preserve"> CITATION StorksS19 \l 1033 </w:instrText>
          </w:r>
          <w:r>
            <w:fldChar w:fldCharType="separate"/>
          </w:r>
          <w:r>
            <w:rPr>
              <w:noProof/>
            </w:rPr>
            <w:t xml:space="preserve">(Storks et al., 2019)</w:t>
          </w:r>
          <w:r>
            <w:fldChar w:fldCharType="end"/>
          </w:r>
        </w:sdtContent>
      </w:sdt>
      <w:r>
        <w:rPr>
          <w:b/>
          <w:bCs/>
          <w:i w:val="false"/>
          <w:iCs w:val="false"/>
          <w:color w:val="000000"/>
        </w:rPr>
        <w:t xml:space="preserve">. Ancak genel alan NLI modellerinin finansal metinlere taşındığında belirgin performans kaybı yaşadığı gösterilmiştir; FinNLI karşılaştırma setinde alan kaymasının genel alan NLI performansını önemli ölçüde düşürdüğü raporlanmıştır </w:t>
      </w:r>
      <w:sdt>
        <w:sdtPr>
          <w:tag w:val="CITATION MagomereJ25"/>
          <w:id w:val="828876149"/>
          <w:citation/>
        </w:sdtPr>
        <w:sdtContent>
          <w:r>
            <w:fldChar w:fldCharType="begin"/>
          </w:r>
          <w:r>
            <w:instrText xml:space="preserve"> CITATION MagomereJ25 \l 1033 </w:instrText>
          </w:r>
          <w:r>
            <w:fldChar w:fldCharType="separate"/>
          </w:r>
          <w:r>
            <w:rPr>
              <w:noProof/>
            </w:rPr>
            <w:t xml:space="preserve">(Magomere et al., 2025)</w:t>
          </w:r>
          <w:r>
            <w:fldChar w:fldCharType="end"/>
          </w:r>
        </w:sdtContent>
      </w:sdt>
      <w:r>
        <w:rPr>
          <w:b/>
          <w:bCs/>
          <w:i w:val="false"/>
          <w:iCs w:val="false"/>
          <w:color w:val="000000"/>
        </w:rPr>
        <w:t xml:space="preserve">. Bu nedenle bu çalışmada sıfır örnekli sonuçlar tamamlayıcı/keşifsel olarak ele alınmıştır.</w:t>
      </w:r>
    </w:p>
    <w:p>
      <w:r>
        <w:rPr>
          <w:b/>
          <w:bCs/>
          <w:i w:val="false"/>
          <w:iCs w:val="false"/>
          <w:color w:val="000000"/>
        </w:rPr>
        <w:t xml:space="preserve">2.4. Alan kayması ve dış test</w:t>
      </w:r>
    </w:p>
    <w:p>
      <w:r>
        <w:rPr>
          <w:b/>
          <w:bCs/>
          <w:i w:val="false"/>
          <w:iCs w:val="false"/>
          <w:color w:val="000000"/>
        </w:rPr>
        <w:t xml:space="preserve">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w:t>
      </w:r>
      <w:sdt>
        <w:sdtPr>
          <w:tag w:val="CITATION GuoY23"/>
          <w:id w:val="2031201436"/>
          <w:citation/>
        </w:sdtPr>
        <w:sdtContent>
          <w:r>
            <w:fldChar w:fldCharType="begin"/>
          </w:r>
          <w:r>
            <w:instrText xml:space="preserve"> CITATION GuoY23 \l 1033 </w:instrText>
          </w:r>
          <w:r>
            <w:fldChar w:fldCharType="separate"/>
          </w:r>
          <w:r>
            <w:rPr>
              <w:noProof/>
            </w:rPr>
            <w:t xml:space="preserve">(Guo et al., 2023)</w:t>
          </w:r>
          <w:r>
            <w:fldChar w:fldCharType="end"/>
          </w:r>
        </w:sdtContent>
      </w:sdt>
      <w:r>
        <w:rPr>
          <w:b/>
          <w:bCs/>
          <w:i w:val="false"/>
          <w:iCs w:val="false"/>
          <w:color w:val="000000"/>
        </w:rPr>
        <w:t xml:space="preserve">. Bu bulgular doğrultusunda literatürdeki araştırma boşluğu, en iyi iç test modelinin hangi koşullarda dış test üstünlüğünü koruduğu ve alan odaklı FinBERT'in hangi metin türlerinde yeniden avantaj sağladığı sorularında konumlanmaktadır.</w:t>
      </w:r>
    </w:p>
    <w:p>
      <w:r>
        <w:rPr>
          <w:b/>
          <w:bCs/>
          <w:i w:val="false"/>
          <w:iCs w:val="false"/>
          <w:color w:val="000000"/>
        </w:rPr>
        <w:t xml:space="preserve">2.5. Etiketleme metodolojisi, çoklu etiketleyici ve etiketleyiciler arası uyum</w:t>
      </w:r>
    </w:p>
    <w:p>
      <w:r>
        <w:rPr>
          <w:b/>
          <w:bCs/>
          <w:i w:val="false"/>
          <w:iCs w:val="false"/>
          <w:color w:val="000000"/>
        </w:rPr>
        <w:t xml:space="preserve">Duygu analizi veri setlerinin kalitesi, büyük ölçüde etiketleme protokolünün tasarımına bağlıdır. Literatürde üç temel yaklaşım öne çıkar: (i) uzman etiketleme, (ii) çoklu etiketleyici ve 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w:t>
      </w:r>
      <w:sdt>
        <w:sdtPr>
          <w:tag w:val="CITATION SnowR08"/>
          <w:id w:val="48445915"/>
          <w:citation/>
        </w:sdtPr>
        <w:sdtContent>
          <w:r>
            <w:fldChar w:fldCharType="begin"/>
          </w:r>
          <w:r>
            <w:instrText xml:space="preserve"> CITATION SnowR08 \l 1033 </w:instrText>
          </w:r>
          <w:r>
            <w:fldChar w:fldCharType="separate"/>
          </w:r>
          <w:r>
            <w:rPr>
              <w:noProof/>
            </w:rPr>
            <w:t xml:space="preserve">(Snow et al., 2008)</w:t>
          </w:r>
          <w:r>
            <w:fldChar w:fldCharType="end"/>
          </w:r>
        </w:sdtContent>
      </w:sdt>
      <w:r>
        <w:rPr>
          <w:b/>
          <w:bCs/>
          <w:i w:val="false"/>
          <w:iCs w:val="false"/>
          <w:color w:val="000000"/>
        </w:rPr>
        <w:t xml:space="preserve">. Çoklu etiketleyici protokollerinde etiketleyiciler arası uyum, yüzde uyum (observed agreement) ve Cohen’s Kappa </w:t>
      </w:r>
      <w:sdt>
        <w:sdtPr>
          <w:tag w:val="CITATION CohenJ60"/>
          <w:id w:val="962113036"/>
          <w:citation/>
        </w:sdtPr>
        <w:sdtContent>
          <w:r>
            <w:fldChar w:fldCharType="begin"/>
          </w:r>
          <w:r>
            <w:instrText xml:space="preserve"> CITATION CohenJ60 \l 1033 </w:instrText>
          </w:r>
          <w:r>
            <w:fldChar w:fldCharType="separate"/>
          </w:r>
          <w:r>
            <w:rPr>
              <w:noProof/>
            </w:rPr>
            <w:t xml:space="preserve">(Cohen, 1960)</w:t>
          </w:r>
          <w:r>
            <w:fldChar w:fldCharType="end"/>
          </w:r>
        </w:sdtContent>
      </w:sdt>
      <w:r>
        <w:rPr>
          <w:b/>
          <w:bCs/>
          <w:i w:val="false"/>
          <w:iCs w:val="false"/>
          <w:color w:val="000000"/>
        </w:rPr>
        <w:t xml:space="preserve"> veya ikiden fazla etiketleyici için Fleiss’ Kappa </w:t>
      </w:r>
      <w:sdt>
        <w:sdtPr>
          <w:tag w:val="CITATION FleissJ71"/>
          <w:id w:val="1684599965"/>
          <w:citation/>
        </w:sdtPr>
        <w:sdtContent>
          <w:r>
            <w:fldChar w:fldCharType="begin"/>
          </w:r>
          <w:r>
            <w:instrText xml:space="preserve"> CITATION FleissJ71 \l 1033 </w:instrText>
          </w:r>
          <w:r>
            <w:fldChar w:fldCharType="separate"/>
          </w:r>
          <w:r>
            <w:rPr>
              <w:noProof/>
            </w:rPr>
            <w:t xml:space="preserve">(Fleiss, 1971)</w:t>
          </w:r>
          <w:r>
            <w:fldChar w:fldCharType="end"/>
          </w:r>
        </w:sdtContent>
      </w:sdt>
      <w:r>
        <w:rPr>
          <w:b/>
          <w:bCs/>
          <w:i w:val="false"/>
          <w:iCs w:val="false"/>
          <w:color w:val="000000"/>
        </w:rPr>
        <w:t xml:space="preserve"> ve Krippendorff alpha </w:t>
      </w:r>
      <w:sdt>
        <w:sdtPr>
          <w:tag w:val="CITATION KrippendorffK19"/>
          <w:id w:val="627264847"/>
          <w:citation/>
        </w:sdtPr>
        <w:sdtContent>
          <w:r>
            <w:fldChar w:fldCharType="begin"/>
          </w:r>
          <w:r>
            <w:instrText xml:space="preserve"> CITATION KrippendorffK19 \l 1033 </w:instrText>
          </w:r>
          <w:r>
            <w:fldChar w:fldCharType="separate"/>
          </w:r>
          <w:r>
            <w:rPr>
              <w:noProof/>
            </w:rPr>
            <w:t xml:space="preserve">(Krippendorff, 2019)</w:t>
          </w:r>
          <w:r>
            <w:fldChar w:fldCharType="end"/>
          </w:r>
        </w:sdtContent>
      </w:sdt>
      <w:r>
        <w:rPr>
          <w:b/>
          <w:bCs/>
          <w:i w:val="false"/>
          <w:iCs w:val="false"/>
          <w:color w:val="000000"/>
        </w:rPr>
        <w:t xml:space="preserve"> ile ölçülür. Kappa değerleri, şans eseri uyuşmayı düzelttiği için yüzde uyuma göre daha muhafazakâr bir tutarlılık göstergesidir; 0,61–0,80 aralığı “belirgin uyum”, 0,81 ve üzeri “neredeyse tam uyum” olarak yorumlanır </w:t>
      </w:r>
      <w:sdt>
        <w:sdtPr>
          <w:tag w:val="CITATION LandisJ77"/>
          <w:id w:val="1873156768"/>
          <w:citation/>
        </w:sdtPr>
        <w:sdtContent>
          <w:r>
            <w:fldChar w:fldCharType="begin"/>
          </w:r>
          <w:r>
            <w:instrText xml:space="preserve"> CITATION LandisJ77 \l 1033 </w:instrText>
          </w:r>
          <w:r>
            <w:fldChar w:fldCharType="separate"/>
          </w:r>
          <w:r>
            <w:rPr>
              <w:noProof/>
            </w:rPr>
            <w:t xml:space="preserve">(Landis &amp; Koch, 1977)</w:t>
          </w:r>
          <w:r>
            <w:fldChar w:fldCharType="end"/>
          </w:r>
        </w:sdtContent>
      </w:sdt>
      <w:r>
        <w:rPr>
          <w:b/>
          <w:bCs/>
          <w:i w:val="false"/>
          <w:iCs w:val="false"/>
          <w:color w:val="000000"/>
        </w:rPr>
        <w:t xml:space="preserve">. Duygu analizinde sınıf sınırlarının öznelliği, özellikle tarafsız sınıf için Kappa değerlerini sistematik olarak düşürür </w:t>
      </w:r>
      <w:sdt>
        <w:sdtPr>
          <w:tag w:val="CITATION WiebeJ05"/>
          <w:id w:val="573655437"/>
          <w:citation/>
        </w:sdtPr>
        <w:sdtContent>
          <w:r>
            <w:fldChar w:fldCharType="begin"/>
          </w:r>
          <w:r>
            <w:instrText xml:space="preserve"> CITATION WiebeJ05 \l 1033 </w:instrText>
          </w:r>
          <w:r>
            <w:fldChar w:fldCharType="separate"/>
          </w:r>
          <w:r>
            <w:rPr>
              <w:noProof/>
            </w:rPr>
            <w:t xml:space="preserve">(Wiebe et al., 2005)</w:t>
          </w:r>
          <w:r>
            <w:fldChar w:fldCharType="end"/>
          </w:r>
        </w:sdtContent>
      </w:sdt>
      <w:r>
        <w:rPr>
          <w:b/>
          <w:bCs/>
          <w:i w:val="false"/>
          <w:iCs w:val="false"/>
          <w:color w:val="000000"/>
        </w:rPr>
        <w:t xml:space="preserve">. Son yıllarda büyük dil modelleri (LLM) etiketleme sürecine yardımcı araç olarak girmiştir; ancak LLM etiketlerinin insan etiketleriyle uyumu görev ve alan bağımlıdır ve LLM’lerin tek başına etiket kaynağı olarak kullanılması literatürde tartışmalıdır </w:t>
      </w:r>
      <w:sdt>
        <w:sdtPr>
          <w:tag w:val="CITATION GilardiF23"/>
          <w:id w:val="1126178245"/>
          <w:citation/>
        </w:sdtPr>
        <w:sdtContent>
          <w:r>
            <w:fldChar w:fldCharType="begin"/>
          </w:r>
          <w:r>
            <w:instrText xml:space="preserve"> CITATION GilardiF23 \l 1033 </w:instrText>
          </w:r>
          <w:r>
            <w:fldChar w:fldCharType="separate"/>
          </w:r>
          <w:r>
            <w:rPr>
              <w:noProof/>
            </w:rPr>
            <w:t xml:space="preserve">(Gilardi et al., 2023)</w:t>
          </w:r>
          <w:r>
            <w:fldChar w:fldCharType="end"/>
          </w:r>
        </w:sdtContent>
      </w:sdt>
      <w:r>
        <w:rPr>
          <w:b/>
          <w:bCs/>
          <w:i w:val="false"/>
          <w:iCs w:val="false"/>
          <w:color w:val="000000"/>
        </w:rPr>
        <w:t xml:space="preserve">. Bu çalışmada dış test etiketleri tek araştırmacı tarafından, bir LLM’nin açıklama desteğiyle belirlenmiştir. Çoklu etiketleyici ve Kappa tabanlı uyum ölçümü uygulanmamıştır; bu durum §3.8 ve §6.3’te açıkça sınırlılık olarak ele alınmıştır. Çalışmanın etiketleme yöntemi, literatürdeki “tek uzman + LLM destekli açıklama” kategorisine yerleştirilebilir; çoklu etiketleyici ve crowdsourcing protokollerinin altındadır.</w:t>
      </w:r>
    </w:p>
    <w:p>
      <w:r>
        <w:rPr>
          <w:b/>
          <w:bCs/>
          <w:i w:val="false"/>
          <w:iCs w:val="false"/>
          <w:color w:val="000000"/>
        </w:rPr>
        <w:t xml:space="preserve">3. Yöntem</w:t>
      </w:r>
    </w:p>
    <w:p>
      <w:r>
        <w:rPr>
          <w:b/>
          <w:bCs/>
          <w:i w:val="false"/>
          <w:iCs w:val="false"/>
          <w:color w:val="000000"/>
        </w:rPr>
        <w:t xml:space="preserve">3.1. Araştırma tasarımı</w:t>
      </w:r>
    </w:p>
    <w:p>
      <w:r>
        <w:rPr>
          <w:b/>
          <w:bCs/>
          <w:i w:val="false"/>
          <w:iCs w:val="false"/>
          <w:color w:val="000000"/>
        </w:rPr>
        <w:t xml:space="preserve">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p>
    <w:p>
      <w:r>
        <w:rPr>
          <w:b/>
          <w:bCs/>
          <w:i w:val="false"/>
          <w:iCs w:val="false"/>
          <w:color w:val="000000"/>
        </w:rPr>
        <w:t xml:space="preserve">3.2. Veri setleri ve veri hazırlama akışı</w:t>
      </w:r>
    </w:p>
    <w:p>
      <w:r>
        <w:rPr>
          <w:b/>
          <w:bCs/>
          <w:i w:val="false"/>
          <w:iCs w:val="false"/>
          <w:color w:val="000000"/>
        </w:rPr>
        <w:t xml:space="preserve">Veri hazırlama akışı. Çalışmanın veri hazırlama süreci beş adımda yürütülmüştür ve tekrarlanabilirlik amacıyla aşağıda sıralanmıştır:</w:t>
      </w:r>
    </w:p>
    <w:p>
      <w:pPr>
        <w:pStyle w:val="ListParagraph"/>
        <w:numPr>
          <w:ilvl w:val="0"/>
          <w:numId w:val="2"/>
        </w:numPr>
      </w:pPr>
      <w:r>
        <w:rPr>
          <w:b/>
          <w:bCs/>
          <w:i w:val="false"/>
          <w:iCs w:val="false"/>
          <w:color w:val="000000"/>
        </w:rPr>
        <w:t xml:space="preserve">Kaynak seçimi. Ana hedef veri olarak Twitter Financial News Sentiment (TFNS) ve yardımcı eğitim verisi olarak Financial PhraseBank (FPB) seçilmiştir. Seçim ölçütleri: üç sınıflı etiket şeması (olumsuz/tarafsız/olumlu), açık erişim, finans alanına uygunluk ve model ön eğitiminde kullanılmamış olma (TFNS için). FPB’nin ProsusAI/finbert ön eğitiminde kullanılmış olması nedeniyle FPB test kümelerine alınmamış, yalnızca eğitim havuzunda yardımcı veri olarak tutulmuştur.</w:t>
      </w:r>
    </w:p>
    <w:p>
      <w:pPr>
        <w:pStyle w:val="ListParagraph"/>
        <w:numPr>
          <w:ilvl w:val="0"/>
          <w:numId w:val="2"/>
        </w:numPr>
      </w:pPr>
      <w:r>
        <w:rPr>
          <w:b/>
          <w:bCs/>
          <w:i w:val="false"/>
          <w:iCs w:val="false"/>
          <w:color w:val="000000"/>
        </w:rPr>
        <w:t xml:space="preserve">Toplama ve birleştirme. TFNS ve FPB örnekleri HuggingFace Datasets üzerinden indirilmiş; ortak şema (metin, etiket) altında birleştirilmiştir.</w:t>
      </w:r>
    </w:p>
    <w:p>
      <w:pPr>
        <w:pStyle w:val="ListParagraph"/>
        <w:numPr>
          <w:ilvl w:val="0"/>
          <w:numId w:val="2"/>
        </w:numPr>
      </w:pPr>
      <w:r>
        <w:rPr>
          <w:b/>
          <w:bCs/>
          <w:i w:val="false"/>
          <w:iCs w:val="false"/>
          <w:color w:val="000000"/>
        </w:rPr>
        <w:t xml:space="preserve">Temizleme. URL, mention (@kullanıcı), HTML etiketi ve kontrol karakterleri kaldırılmış; boş ve yinelenen örnekler ayıklanmıştır. Temizleme sonrası TFNS 11.928, FPB 4.840 örnek kalmıştır (toplam 16.768).</w:t>
      </w:r>
    </w:p>
    <w:p>
      <w:pPr>
        <w:pStyle w:val="ListParagraph"/>
        <w:numPr>
          <w:ilvl w:val="0"/>
          <w:numId w:val="2"/>
        </w:numPr>
      </w:pPr>
      <w:r>
        <w:rPr>
          <w:b/>
          <w:bCs/>
          <w:i w:val="false"/>
          <w:iCs w:val="false"/>
          <w:color w:val="000000"/>
        </w:rPr>
        <w:t xml:space="preserve">Bölümleme. İç test yalnızca TFNS üzerinden katmanlı örnekleme ile ayrılmıştır. Eğitim/doğrulama/iç test oranları sırasıyla yaklaşık %77,2 / %8,5 / %14,2’dir. Split işlemi 42 numaralı rastgelelik tohumuyla yapılmış; split dosyası (JSON) paylaşıma açılmıştır.</w:t>
      </w:r>
    </w:p>
    <w:p>
      <w:pPr>
        <w:pStyle w:val="ListParagraph"/>
        <w:numPr>
          <w:ilvl w:val="0"/>
          <w:numId w:val="2"/>
        </w:numPr>
      </w:pPr>
      <w:r>
        <w:rPr>
          <w:b/>
          <w:bCs/>
          <w:i w:val="false"/>
          <w:iCs w:val="false"/>
          <w:color w:val="000000"/>
        </w:rPr>
        <w:t xml:space="preserve">Dış test setleri. S&amp;P 500 (1.060 başlık), sentetik (3.000 örnek) ve Reuters (5.000 haber) dış test setleri eğitim havuzuna dâhil edilmemiştir.</w:t>
      </w:r>
    </w:p>
    <w:p>
      <w:r>
        <w:rPr>
          <w:b/>
          <w:bCs/>
          <w:i w:val="false"/>
          <w:iCs w:val="false"/>
          <w:color w:val="000000"/>
        </w:rPr>
        <w:t xml:space="preserve">Ana veri havuzu. TFNS (11.928) ve FPB (4.840) örneklerinden oluşur. Eğitim kümesi 12.950 (TFNS 8.110 + FPB 4.840), doğrulama 1.432, iç test 2.386 örnek içerir. İç test yalnızca TFNS’ten ayrılmıştır; FPB test kümesine alınmamıştır.</w:t>
      </w:r>
    </w:p>
    <w:p>
      <w:r>
        <w:rPr>
          <w:b/>
          <w:bCs/>
          <w:i w:val="false"/>
          <w:iCs w:val="false"/>
          <w:color w:val="000000"/>
        </w:rPr>
        <w:t xml:space="preserve">Dış test setleri. S&amp;P 500 seti 1.060 şirket haber başlığından; sentetik set her sınıfta 1.000 örnek olacak şekilde dengeli 3.000 finansal haber örneğinden; Reuters seti 5.000 editoryal kurumsal haberden oluşmaktadır.</w:t>
      </w:r>
    </w:p>
    <w:p>
      <w:r>
        <w:rPr>
          <w:b/>
          <w:bCs/>
          <w:i w:val="false"/>
          <w:iCs w:val="false"/>
          <w:color w:val="000000"/>
        </w:rPr>
        <w:t xml:space="preserve">Tablo 1. Veri setleri, kaynakları, rolleri ve sınıf dağılımları.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r>
              <w:rPr>
                <w:b/>
                <w:bCs/>
                <w:i w:val="false"/>
                <w:iCs w:val="false"/>
                <w:color w:val="000000"/>
              </w:rPr>
              <w:t xml:space="preserve">Veri seti</w:t>
            </w:r>
          </w:p>
        </w:tc>
        <w:tc>
          <w:p>
            <w:r>
              <w:rPr>
                <w:b/>
                <w:bCs/>
                <w:i w:val="false"/>
                <w:iCs w:val="false"/>
                <w:color w:val="000000"/>
              </w:rPr>
              <w:t xml:space="preserve">Kaynak</w:t>
            </w:r>
          </w:p>
        </w:tc>
        <w:tc>
          <w:p>
            <w:r>
              <w:rPr>
                <w:b/>
                <w:bCs/>
                <w:i w:val="false"/>
                <w:iCs w:val="false"/>
                <w:color w:val="000000"/>
              </w:rPr>
              <w:t xml:space="preserve">Rol</w:t>
            </w:r>
          </w:p>
        </w:tc>
        <w:tc>
          <w:p>
            <w:r>
              <w:rPr>
                <w:b/>
                <w:bCs/>
                <w:i w:val="false"/>
                <w:iCs w:val="false"/>
                <w:color w:val="000000"/>
              </w:rPr>
              <w:t xml:space="preserve">N</w:t>
            </w:r>
          </w:p>
        </w:tc>
        <w:tc>
          <w:p>
            <w:r>
              <w:rPr>
                <w:b/>
                <w:bCs/>
                <w:i w:val="false"/>
                <w:iCs w:val="false"/>
                <w:color w:val="000000"/>
              </w:rPr>
              <w:t xml:space="preserve">Negatif</w:t>
            </w:r>
          </w:p>
        </w:tc>
        <w:tc>
          <w:p>
            <w:r>
              <w:rPr>
                <w:b/>
                <w:bCs/>
                <w:i w:val="false"/>
                <w:iCs w:val="false"/>
                <w:color w:val="000000"/>
              </w:rPr>
              <w:t xml:space="preserve">Tarafsız</w:t>
            </w:r>
          </w:p>
        </w:tc>
        <w:tc>
          <w:p>
            <w:r>
              <w:rPr>
                <w:b/>
                <w:bCs/>
                <w:i w:val="false"/>
                <w:iCs w:val="false"/>
                <w:color w:val="000000"/>
              </w:rPr>
              <w:t xml:space="preserve">Pozitif</w:t>
            </w:r>
          </w:p>
        </w:tc>
        <w:tc>
          <w:p>
            <w:r>
              <w:rPr>
                <w:b/>
                <w:bCs/>
                <w:i w:val="false"/>
                <w:iCs w:val="false"/>
                <w:color w:val="000000"/>
              </w:rPr>
              <w:t xml:space="preserve">Etiketleme</w:t>
            </w:r>
          </w:p>
        </w:tc>
      </w:tr>
      <w:tr>
        <w:tc>
          <w:p>
            <w:r>
              <w:rPr>
                <w:b/>
                <w:bCs/>
                <w:i w:val="false"/>
                <w:iCs w:val="false"/>
                <w:color w:val="000000"/>
              </w:rPr>
              <w:t xml:space="preserve">Twitter Financial News (TFNS)</w:t>
            </w:r>
          </w:p>
        </w:tc>
        <w:tc>
          <w:p>
            <w:r>
              <w:rPr>
                <w:b/>
                <w:bCs/>
                <w:i w:val="false"/>
                <w:iCs w:val="false"/>
                <w:color w:val="000000"/>
              </w:rPr>
              <w:t xml:space="preserve">HuggingFace (zeroshot/twitter-financial-news-sentiment)</w:t>
            </w:r>
          </w:p>
        </w:tc>
        <w:tc>
          <w:p>
            <w:r>
              <w:rPr>
                <w:b/>
                <w:bCs/>
                <w:i w:val="false"/>
                <w:iCs w:val="false"/>
                <w:color w:val="000000"/>
              </w:rPr>
              <w:t xml:space="preserve">Ana hedef</w:t>
            </w:r>
          </w:p>
        </w:tc>
        <w:tc>
          <w:p>
            <w:r>
              <w:rPr>
                <w:b/>
                <w:bCs/>
                <w:i w:val="false"/>
                <w:iCs w:val="false"/>
                <w:color w:val="000000"/>
              </w:rPr>
              <w:t xml:space="preserve">11.928</w:t>
            </w:r>
          </w:p>
        </w:tc>
        <w:tc>
          <w:p>
            <w:r>
              <w:rPr>
                <w:b/>
                <w:bCs/>
                <w:i w:val="false"/>
                <w:iCs w:val="false"/>
                <w:color w:val="000000"/>
              </w:rPr>
              <w:t xml:space="preserve">1.781</w:t>
            </w:r>
          </w:p>
        </w:tc>
        <w:tc>
          <w:p>
            <w:r>
              <w:rPr>
                <w:b/>
                <w:bCs/>
                <w:i w:val="false"/>
                <w:iCs w:val="false"/>
                <w:color w:val="000000"/>
              </w:rPr>
              <w:t xml:space="preserve">8.343</w:t>
            </w:r>
          </w:p>
        </w:tc>
        <w:tc>
          <w:p>
            <w:r>
              <w:rPr>
                <w:b/>
                <w:bCs/>
                <w:i w:val="false"/>
                <w:iCs w:val="false"/>
                <w:color w:val="000000"/>
              </w:rPr>
              <w:t xml:space="preserve">1.804</w:t>
            </w:r>
          </w:p>
        </w:tc>
        <w:tc>
          <w:p>
            <w:r>
              <w:rPr>
                <w:b/>
                <w:bCs/>
                <w:i w:val="false"/>
                <w:iCs w:val="false"/>
                <w:color w:val="000000"/>
              </w:rPr>
              <w:t xml:space="preserve">Hazır 3 sınıf</w:t>
            </w:r>
          </w:p>
        </w:tc>
      </w:tr>
      <w:tr>
        <w:tc>
          <w:p>
            <w:r>
              <w:rPr>
                <w:b/>
                <w:bCs/>
                <w:i w:val="false"/>
                <w:iCs w:val="false"/>
                <w:color w:val="000000"/>
              </w:rPr>
              <w:t xml:space="preserve">Financial PhraseBank (FPB)</w:t>
            </w:r>
          </w:p>
        </w:tc>
        <w:tc>
          <w:p>
            <w:r>
              <w:rPr>
                <w:b/>
                <w:bCs/>
                <w:i w:val="false"/>
                <w:iCs w:val="false"/>
                <w:color w:val="000000"/>
              </w:rPr>
              <w:t xml:space="preserve">Malo et al. (2013)</w:t>
            </w:r>
          </w:p>
        </w:tc>
        <w:tc>
          <w:p>
            <w:r>
              <w:rPr>
                <w:b/>
                <w:bCs/>
                <w:i w:val="false"/>
                <w:iCs w:val="false"/>
                <w:color w:val="000000"/>
              </w:rPr>
              <w:t xml:space="preserve">Yardımcı eğitim</w:t>
            </w:r>
          </w:p>
        </w:tc>
        <w:tc>
          <w:p>
            <w:r>
              <w:rPr>
                <w:b/>
                <w:bCs/>
                <w:i w:val="false"/>
                <w:iCs w:val="false"/>
                <w:color w:val="000000"/>
              </w:rPr>
              <w:t xml:space="preserve">4.840</w:t>
            </w:r>
          </w:p>
        </w:tc>
        <w:tc>
          <w:p>
            <w:r>
              <w:rPr>
                <w:b/>
                <w:bCs/>
                <w:i w:val="false"/>
                <w:iCs w:val="false"/>
                <w:color w:val="000000"/>
              </w:rPr>
              <w:t xml:space="preserve">612</w:t>
            </w:r>
          </w:p>
        </w:tc>
        <w:tc>
          <w:p>
            <w:r>
              <w:rPr>
                <w:b/>
                <w:bCs/>
                <w:i w:val="false"/>
                <w:iCs w:val="false"/>
                <w:color w:val="000000"/>
              </w:rPr>
              <w:t xml:space="preserve">2.272</w:t>
            </w:r>
          </w:p>
        </w:tc>
        <w:tc>
          <w:p>
            <w:r>
              <w:rPr>
                <w:b/>
                <w:bCs/>
                <w:i w:val="false"/>
                <w:iCs w:val="false"/>
                <w:color w:val="000000"/>
              </w:rPr>
              <w:t xml:space="preserve">1.956</w:t>
            </w:r>
          </w:p>
        </w:tc>
        <w:tc>
          <w:p>
            <w:r>
              <w:rPr>
                <w:b/>
                <w:bCs/>
                <w:i w:val="false"/>
                <w:iCs w:val="false"/>
                <w:color w:val="000000"/>
              </w:rPr>
              <w:t xml:space="preserve">Uzman, 5–8 oy</w:t>
            </w:r>
          </w:p>
        </w:tc>
      </w:tr>
      <w:tr>
        <w:tc>
          <w:p>
            <w:r>
              <w:rPr>
                <w:b/>
                <w:bCs/>
                <w:i w:val="false"/>
                <w:iCs w:val="false"/>
                <w:color w:val="000000"/>
              </w:rPr>
              <w:t xml:space="preserve">Ana havuz (toplam)</w:t>
            </w:r>
          </w:p>
        </w:tc>
        <w:tc>
          <w:p>
            <w:r>
              <w:rPr>
                <w:b/>
                <w:bCs/>
                <w:i w:val="false"/>
                <w:iCs w:val="false"/>
                <w:color w:val="000000"/>
              </w:rPr>
              <w:t xml:space="preserve">—</w:t>
            </w:r>
          </w:p>
        </w:tc>
        <w:tc>
          <w:p>
            <w:r>
              <w:rPr>
                <w:b/>
                <w:bCs/>
                <w:i w:val="false"/>
                <w:iCs w:val="false"/>
                <w:color w:val="000000"/>
              </w:rPr>
              <w:t xml:space="preserve">Eğitim/doğrulama/iç test</w:t>
            </w:r>
          </w:p>
        </w:tc>
        <w:tc>
          <w:p>
            <w:r>
              <w:rPr>
                <w:b/>
                <w:bCs/>
                <w:i w:val="false"/>
                <w:iCs w:val="false"/>
                <w:color w:val="000000"/>
              </w:rPr>
              <w:t xml:space="preserve">16.768</w:t>
            </w:r>
          </w:p>
        </w:tc>
        <w:tc>
          <w:p>
            <w:r>
              <w:rPr>
                <w:b/>
                <w:bCs/>
                <w:i w:val="false"/>
                <w:iCs w:val="false"/>
                <w:color w:val="000000"/>
              </w:rPr>
              <w:t xml:space="preserve">2.393</w:t>
            </w:r>
          </w:p>
        </w:tc>
        <w:tc>
          <w:p>
            <w:r>
              <w:rPr>
                <w:b/>
                <w:bCs/>
                <w:i w:val="false"/>
                <w:iCs w:val="false"/>
                <w:color w:val="000000"/>
              </w:rPr>
              <w:t xml:space="preserve">10.615</w:t>
            </w:r>
          </w:p>
        </w:tc>
        <w:tc>
          <w:p>
            <w:r>
              <w:rPr>
                <w:b/>
                <w:bCs/>
                <w:i w:val="false"/>
                <w:iCs w:val="false"/>
                <w:color w:val="000000"/>
              </w:rPr>
              <w:t xml:space="preserve">3.760</w:t>
            </w:r>
          </w:p>
        </w:tc>
        <w:tc>
          <w:p>
            <w:r>
              <w:rPr>
                <w:b/>
                <w:bCs/>
                <w:i w:val="false"/>
                <w:iCs w:val="false"/>
                <w:color w:val="000000"/>
              </w:rPr>
              <w:t xml:space="preserve">—</w:t>
            </w:r>
          </w:p>
        </w:tc>
      </w:tr>
      <w:tr>
        <w:tc>
          <w:p>
            <w:r>
              <w:rPr>
                <w:b/>
                <w:bCs/>
                <w:i w:val="false"/>
                <w:iCs w:val="false"/>
                <w:color w:val="000000"/>
              </w:rPr>
              <w:t xml:space="preserve">Eğitim</w:t>
            </w:r>
          </w:p>
        </w:tc>
        <w:tc>
          <w:p>
            <w:r>
              <w:rPr>
                <w:b/>
                <w:bCs/>
                <w:i w:val="false"/>
                <w:iCs w:val="false"/>
                <w:color w:val="000000"/>
              </w:rPr>
              <w:t xml:space="preserve">—</w:t>
            </w:r>
          </w:p>
        </w:tc>
        <w:tc>
          <w:p>
            <w:r>
              <w:rPr>
                <w:b/>
                <w:bCs/>
                <w:i w:val="false"/>
                <w:iCs w:val="false"/>
                <w:color w:val="000000"/>
              </w:rPr>
              <w:t xml:space="preserve">Eğitim</w:t>
            </w:r>
          </w:p>
        </w:tc>
        <w:tc>
          <w:p>
            <w:r>
              <w:rPr>
                <w:b/>
                <w:bCs/>
                <w:i w:val="false"/>
                <w:iCs w:val="false"/>
                <w:color w:val="000000"/>
              </w:rPr>
              <w:t xml:space="preserve">12.950</w:t>
            </w:r>
          </w:p>
        </w:tc>
        <w:tc>
          <w:p>
            <w:r>
              <w:rPr>
                <w:b/>
                <w:bCs/>
                <w:i w:val="false"/>
                <w:iCs w:val="false"/>
                <w:color w:val="000000"/>
              </w:rPr>
              <w:t xml:space="preserve">1.820</w:t>
            </w:r>
          </w:p>
        </w:tc>
        <w:tc>
          <w:p>
            <w:r>
              <w:rPr>
                <w:b/>
                <w:bCs/>
                <w:i w:val="false"/>
                <w:iCs w:val="false"/>
                <w:color w:val="000000"/>
              </w:rPr>
              <w:t xml:space="preserve">8.137</w:t>
            </w:r>
          </w:p>
        </w:tc>
        <w:tc>
          <w:p>
            <w:r>
              <w:rPr>
                <w:b/>
                <w:bCs/>
                <w:i w:val="false"/>
                <w:iCs w:val="false"/>
                <w:color w:val="000000"/>
              </w:rPr>
              <w:t xml:space="preserve">2.993</w:t>
            </w:r>
          </w:p>
        </w:tc>
        <w:tc>
          <w:p>
            <w:r>
              <w:rPr>
                <w:b/>
                <w:bCs/>
                <w:i w:val="false"/>
                <w:iCs w:val="false"/>
                <w:color w:val="000000"/>
              </w:rPr>
              <w:t xml:space="preserve">—</w:t>
            </w:r>
          </w:p>
        </w:tc>
      </w:tr>
      <w:tr>
        <w:tc>
          <w:p>
            <w:r>
              <w:rPr>
                <w:b/>
                <w:bCs/>
                <w:i w:val="false"/>
                <w:iCs w:val="false"/>
                <w:color w:val="000000"/>
              </w:rPr>
              <w:t xml:space="preserve">Doğrulama</w:t>
            </w:r>
          </w:p>
        </w:tc>
        <w:tc>
          <w:p>
            <w:r>
              <w:rPr>
                <w:b/>
                <w:bCs/>
                <w:i w:val="false"/>
                <w:iCs w:val="false"/>
                <w:color w:val="000000"/>
              </w:rPr>
              <w:t xml:space="preserve">—</w:t>
            </w:r>
          </w:p>
        </w:tc>
        <w:tc>
          <w:p>
            <w:r>
              <w:rPr>
                <w:b/>
                <w:bCs/>
                <w:i w:val="false"/>
                <w:iCs w:val="false"/>
                <w:color w:val="000000"/>
              </w:rPr>
              <w:t xml:space="preserve">Model seçimi</w:t>
            </w:r>
          </w:p>
        </w:tc>
        <w:tc>
          <w:p>
            <w:r>
              <w:rPr>
                <w:b/>
                <w:bCs/>
                <w:i w:val="false"/>
                <w:iCs w:val="false"/>
                <w:color w:val="000000"/>
              </w:rPr>
              <w:t xml:space="preserve">1.432</w:t>
            </w:r>
          </w:p>
        </w:tc>
        <w:tc>
          <w:p>
            <w:r>
              <w:rPr>
                <w:b/>
                <w:bCs/>
                <w:i w:val="false"/>
                <w:iCs w:val="false"/>
                <w:color w:val="000000"/>
              </w:rPr>
              <w:t xml:space="preserve">215</w:t>
            </w:r>
          </w:p>
        </w:tc>
        <w:tc>
          <w:p>
            <w:r>
              <w:rPr>
                <w:b/>
                <w:bCs/>
                <w:i w:val="false"/>
                <w:iCs w:val="false"/>
                <w:color w:val="000000"/>
              </w:rPr>
              <w:t xml:space="preserve">929</w:t>
            </w:r>
          </w:p>
        </w:tc>
        <w:tc>
          <w:p>
            <w:r>
              <w:rPr>
                <w:b/>
                <w:bCs/>
                <w:i w:val="false"/>
                <w:iCs w:val="false"/>
                <w:color w:val="000000"/>
              </w:rPr>
              <w:t xml:space="preserve">288</w:t>
            </w:r>
          </w:p>
        </w:tc>
        <w:tc>
          <w:p>
            <w:r>
              <w:rPr>
                <w:b/>
                <w:bCs/>
                <w:i w:val="false"/>
                <w:iCs w:val="false"/>
                <w:color w:val="000000"/>
              </w:rPr>
              <w:t xml:space="preserve">—</w:t>
            </w:r>
          </w:p>
        </w:tc>
      </w:tr>
      <w:tr>
        <w:tc>
          <w:p>
            <w:r>
              <w:rPr>
                <w:b/>
                <w:bCs/>
                <w:i w:val="false"/>
                <w:iCs w:val="false"/>
                <w:color w:val="000000"/>
              </w:rPr>
              <w:t xml:space="preserve">İç test</w:t>
            </w:r>
          </w:p>
        </w:tc>
        <w:tc>
          <w:p>
            <w:r>
              <w:rPr>
                <w:b/>
                <w:bCs/>
                <w:i w:val="false"/>
                <w:iCs w:val="false"/>
                <w:color w:val="000000"/>
              </w:rPr>
              <w:t xml:space="preserve">—</w:t>
            </w:r>
          </w:p>
        </w:tc>
        <w:tc>
          <w:p>
            <w:r>
              <w:rPr>
                <w:b/>
                <w:bCs/>
                <w:i w:val="false"/>
                <w:iCs w:val="false"/>
                <w:color w:val="000000"/>
              </w:rPr>
              <w:t xml:space="preserve">Aynı kaynak test</w:t>
            </w:r>
          </w:p>
        </w:tc>
        <w:tc>
          <w:p>
            <w:r>
              <w:rPr>
                <w:b/>
                <w:bCs/>
                <w:i w:val="false"/>
                <w:iCs w:val="false"/>
                <w:color w:val="000000"/>
              </w:rPr>
              <w:t xml:space="preserve">2.386</w:t>
            </w:r>
          </w:p>
        </w:tc>
        <w:tc>
          <w:p>
            <w:r>
              <w:rPr>
                <w:b/>
                <w:bCs/>
                <w:i w:val="false"/>
                <w:iCs w:val="false"/>
                <w:color w:val="000000"/>
              </w:rPr>
              <w:t xml:space="preserve">358</w:t>
            </w:r>
          </w:p>
        </w:tc>
        <w:tc>
          <w:p>
            <w:r>
              <w:rPr>
                <w:b/>
                <w:bCs/>
                <w:i w:val="false"/>
                <w:iCs w:val="false"/>
                <w:color w:val="000000"/>
              </w:rPr>
              <w:t xml:space="preserve">1.549</w:t>
            </w:r>
          </w:p>
        </w:tc>
        <w:tc>
          <w:p>
            <w:r>
              <w:rPr>
                <w:b/>
                <w:bCs/>
                <w:i w:val="false"/>
                <w:iCs w:val="false"/>
                <w:color w:val="000000"/>
              </w:rPr>
              <w:t xml:space="preserve">479</w:t>
            </w:r>
          </w:p>
        </w:tc>
        <w:tc>
          <w:p>
            <w:r>
              <w:rPr>
                <w:b/>
                <w:bCs/>
                <w:i w:val="false"/>
                <w:iCs w:val="false"/>
                <w:color w:val="000000"/>
              </w:rPr>
              <w:t xml:space="preserve">TFNS etiketi</w:t>
            </w:r>
          </w:p>
        </w:tc>
      </w:tr>
      <w:tr>
        <w:tc>
          <w:p>
            <w:r>
              <w:rPr>
                <w:b/>
                <w:bCs/>
                <w:i w:val="false"/>
                <w:iCs w:val="false"/>
                <w:color w:val="000000"/>
              </w:rPr>
              <w:t xml:space="preserve">S&amp;P 500</w:t>
            </w:r>
          </w:p>
        </w:tc>
        <w:tc>
          <w:p>
            <w:r>
              <w:rPr>
                <w:b/>
                <w:bCs/>
                <w:i w:val="false"/>
                <w:iCs w:val="false"/>
                <w:color w:val="000000"/>
              </w:rPr>
              <w:t xml:space="preserve">Şirket haber başlıkları</w:t>
            </w:r>
          </w:p>
        </w:tc>
        <w:tc>
          <w:p>
            <w:r>
              <w:rPr>
                <w:b/>
                <w:bCs/>
                <w:i w:val="false"/>
                <w:iCs w:val="false"/>
                <w:color w:val="000000"/>
              </w:rPr>
              <w:t xml:space="preserve">Yakın alan dış test</w:t>
            </w:r>
          </w:p>
        </w:tc>
        <w:tc>
          <w:p>
            <w:r>
              <w:rPr>
                <w:b/>
                <w:bCs/>
                <w:i w:val="false"/>
                <w:iCs w:val="false"/>
                <w:color w:val="000000"/>
              </w:rPr>
              <w:t xml:space="preserve">1.060</w:t>
            </w:r>
          </w:p>
        </w:tc>
        <w:tc>
          <w:p>
            <w:r>
              <w:rPr>
                <w:b/>
                <w:bCs/>
                <w:i w:val="false"/>
                <w:iCs w:val="false"/>
                <w:color w:val="000000"/>
              </w:rPr>
              <w:t xml:space="preserve">323</w:t>
            </w:r>
          </w:p>
        </w:tc>
        <w:tc>
          <w:p>
            <w:r>
              <w:rPr>
                <w:b/>
                <w:bCs/>
                <w:i w:val="false"/>
                <w:iCs w:val="false"/>
                <w:color w:val="000000"/>
              </w:rPr>
              <w:t xml:space="preserve">339</w:t>
            </w:r>
          </w:p>
        </w:tc>
        <w:tc>
          <w:p>
            <w:r>
              <w:rPr>
                <w:b/>
                <w:bCs/>
                <w:i w:val="false"/>
                <w:iCs w:val="false"/>
                <w:color w:val="000000"/>
              </w:rPr>
              <w:t xml:space="preserve">398</w:t>
            </w:r>
          </w:p>
        </w:tc>
        <w:tc>
          <w:p>
            <w:r>
              <w:rPr>
                <w:b w:val="false"/>
                <w:bCs w:val="false"/>
                <w:i w:val="false"/>
                <w:iCs w:val="false"/>
                <w:color w:val="000000"/>
              </w:rPr>
              <w:t xml:space="preserve">ChatGPT Pro ve araştırmacı onayı</w:t>
            </w:r>
          </w:p>
        </w:tc>
      </w:tr>
      <w:tr>
        <w:tc>
          <w:p>
            <w:r>
              <w:rPr>
                <w:b/>
                <w:bCs/>
                <w:i w:val="false"/>
                <w:iCs w:val="false"/>
                <w:color w:val="000000"/>
              </w:rPr>
              <w:t xml:space="preserve">Sentetik</w:t>
            </w:r>
          </w:p>
        </w:tc>
        <w:tc>
          <w:p>
            <w:r>
              <w:rPr>
                <w:b/>
                <w:bCs/>
                <w:i w:val="false"/>
                <w:iCs w:val="false"/>
                <w:color w:val="000000"/>
              </w:rPr>
              <w:t xml:space="preserve">Koşullu LLM üretimi</w:t>
            </w:r>
          </w:p>
        </w:tc>
        <w:tc>
          <w:p>
            <w:r>
              <w:rPr>
                <w:b/>
                <w:bCs/>
                <w:i w:val="false"/>
                <w:iCs w:val="false"/>
                <w:color w:val="000000"/>
              </w:rPr>
              <w:t xml:space="preserve">Tanısal test</w:t>
            </w:r>
          </w:p>
        </w:tc>
        <w:tc>
          <w:p>
            <w:r>
              <w:rPr>
                <w:b/>
                <w:bCs/>
                <w:i w:val="false"/>
                <w:iCs w:val="false"/>
                <w:color w:val="000000"/>
              </w:rPr>
              <w:t xml:space="preserve">3.000</w:t>
            </w:r>
          </w:p>
        </w:tc>
        <w:tc>
          <w:p>
            <w:r>
              <w:rPr>
                <w:b/>
                <w:bCs/>
                <w:i w:val="false"/>
                <w:iCs w:val="false"/>
                <w:color w:val="000000"/>
              </w:rPr>
              <w:t xml:space="preserve">1.000</w:t>
            </w:r>
          </w:p>
        </w:tc>
        <w:tc>
          <w:p>
            <w:r>
              <w:rPr>
                <w:b/>
                <w:bCs/>
                <w:i w:val="false"/>
                <w:iCs w:val="false"/>
                <w:color w:val="000000"/>
              </w:rPr>
              <w:t xml:space="preserve">1.000</w:t>
            </w:r>
          </w:p>
        </w:tc>
        <w:tc>
          <w:p>
            <w:r>
              <w:rPr>
                <w:b/>
                <w:bCs/>
                <w:i w:val="false"/>
                <w:iCs w:val="false"/>
                <w:color w:val="000000"/>
              </w:rPr>
              <w:t xml:space="preserve">1.000</w:t>
            </w:r>
          </w:p>
        </w:tc>
        <w:tc>
          <w:p>
            <w:r>
              <w:rPr>
                <w:b/>
                <w:bCs/>
                <w:i w:val="false"/>
                <w:iCs w:val="false"/>
                <w:color w:val="000000"/>
              </w:rPr>
              <w:t xml:space="preserve">Üretim koşulu</w:t>
            </w:r>
          </w:p>
        </w:tc>
      </w:tr>
      <w:tr>
        <w:tc>
          <w:p>
            <w:r>
              <w:rPr>
                <w:b/>
                <w:bCs/>
                <w:i w:val="false"/>
                <w:iCs w:val="false"/>
                <w:color w:val="000000"/>
              </w:rPr>
              <w:t xml:space="preserve">Reuters</w:t>
            </w:r>
          </w:p>
        </w:tc>
        <w:tc>
          <w:p>
            <w:r>
              <w:rPr>
                <w:b/>
                <w:bCs/>
                <w:i w:val="false"/>
                <w:iCs w:val="false"/>
                <w:color w:val="000000"/>
              </w:rPr>
              <w:t xml:space="preserve">Editoryal kurumsal haber</w:t>
            </w:r>
          </w:p>
        </w:tc>
        <w:tc>
          <w:p>
            <w:r>
              <w:rPr>
                <w:b/>
                <w:bCs/>
                <w:i w:val="false"/>
                <w:iCs w:val="false"/>
                <w:color w:val="000000"/>
              </w:rPr>
              <w:t xml:space="preserve">Uzak alan dış test</w:t>
            </w:r>
          </w:p>
        </w:tc>
        <w:tc>
          <w:p>
            <w:r>
              <w:rPr>
                <w:b/>
                <w:bCs/>
                <w:i w:val="false"/>
                <w:iCs w:val="false"/>
                <w:color w:val="000000"/>
              </w:rPr>
              <w:t xml:space="preserve">5.000</w:t>
            </w:r>
          </w:p>
        </w:tc>
        <w:tc>
          <w:p>
            <w:r>
              <w:rPr>
                <w:b/>
                <w:bCs/>
                <w:i w:val="false"/>
                <w:iCs w:val="false"/>
                <w:color w:val="000000"/>
              </w:rPr>
              <w:t xml:space="preserve">1.579</w:t>
            </w:r>
          </w:p>
        </w:tc>
        <w:tc>
          <w:p>
            <w:r>
              <w:rPr>
                <w:b/>
                <w:bCs/>
                <w:i w:val="false"/>
                <w:iCs w:val="false"/>
                <w:color w:val="000000"/>
              </w:rPr>
              <w:t xml:space="preserve">1.146</w:t>
            </w:r>
          </w:p>
        </w:tc>
        <w:tc>
          <w:p>
            <w:r>
              <w:rPr>
                <w:b/>
                <w:bCs/>
                <w:i w:val="false"/>
                <w:iCs w:val="false"/>
                <w:color w:val="000000"/>
              </w:rPr>
              <w:t xml:space="preserve">2.275</w:t>
            </w:r>
          </w:p>
        </w:tc>
        <w:tc>
          <w:p>
            <w:r>
              <w:rPr>
                <w:b w:val="false"/>
                <w:bCs w:val="false"/>
                <w:i w:val="false"/>
                <w:iCs w:val="false"/>
                <w:color w:val="000000"/>
              </w:rPr>
              <w:t xml:space="preserve">ChatGPT Pro ve araştırmacı onayı</w:t>
            </w:r>
          </w:p>
        </w:tc>
      </w:tr>
    </w:tbl>
    <w:p>
      <w:r>
        <w:rPr>
          <w:b/>
          <w:bCs/>
          <w:i w:val="false"/>
          <w:iCs w:val="false"/>
          <w:color w:val="000000"/>
        </w:rPr>
        <w:t xml:space="preserve">Not. Twitter etiketi veri kartında üç sınıf tanımlanır; etiketleyici profili, uzmanlık düzeyi ve uzlaşı süreci veri kartında açıklanmamaktadır. Bu, ana veri setinin bilinen bir sınırlılığıdır.</w:t>
      </w:r>
    </w:p>
    <w:p>
      <w:r>
        <w:rPr>
          <w:b/>
          <w:bCs/>
          <w:i w:val="false"/>
          <w:iCs w:val="false"/>
          <w:color w:val="000000"/>
        </w:rPr>
        <w:t xml:space="preserve">3.3. Etiketleme ölçütleri ve post-hoc dokümante edilmiş rubrik</w:t>
      </w:r>
    </w:p>
    <w:p>
      <w:r>
        <w:rPr>
          <w:b/>
          <w:bCs/>
          <w:i w:val="false"/>
          <w:iCs w:val="false"/>
          <w:color w:val="000000"/>
        </w:rPr>
        <w:t xml:space="preserve">S&amp;P 500 ve Reuters dış test setlerinin etiketleri, etiketleme sürecinde prospektif bir rubrik kullanılmadan, tek araştırmacı tarafından bir büyük dil modelinin (ChatGPT, GPT-4 sınıfı) açıklama desteğiyle belirlenmiştir. Etiketleme süreci sonrasında, fiilen uygulanan karar ölçütleri aşağıdaki post-hoc rubrikte belgelenmiştir. Rubrik, prospektif bir etiketleme aracı olarak değil, uygulanan kararların şeffaf biçimde raporlanması amacıyla sunulmaktadır.</w:t>
      </w:r>
    </w:p>
    <w:p>
      <w:r>
        <w:rPr>
          <w:b/>
          <w:bCs/>
          <w:i w:val="false"/>
          <w:iCs w:val="false"/>
          <w:color w:val="000000"/>
        </w:rPr>
        <w:t xml:space="preserve">Ortak ilke. Etiket, metnin dilsel tonu değil, metnin ilgili şirketin piyasa değeri veya yatırımcı beklentisi üzerindeki yönlü etkisi üzerinden verilmiştir. Belirsizlik durumunda tarafsız sınıfına başvurulmuştur.</w:t>
      </w:r>
    </w:p>
    <w:p>
      <w:r>
        <w:rPr>
          <w:b/>
          <w:bCs/>
          <w:i w:val="false"/>
          <w:iCs w:val="false"/>
          <w:color w:val="000000"/>
        </w:rPr>
        <w:t xml:space="preserve">Pozitif (olumlu). Metin, ilgili şirket veya piyasa için net ve yönlü bir olumlu etki taşır.</w:t>
      </w:r>
    </w:p>
    <w:p>
      <w:pPr>
        <w:pStyle w:val="ListParagraph"/>
        <w:numPr>
          <w:ilvl w:val="0"/>
          <w:numId w:val="1"/>
        </w:numPr>
      </w:pPr>
      <w:r>
        <w:rPr>
          <w:b/>
          <w:bCs/>
          <w:i w:val="false"/>
          <w:iCs w:val="false"/>
          <w:color w:val="000000"/>
        </w:rPr>
        <w:t xml:space="preserve">Örnek: </w:t>
      </w:r>
      <w:r>
        <w:rPr>
          <w:b/>
          <w:bCs/>
          <w:i/>
          <w:iCs/>
          <w:color w:val="000000"/>
        </w:rPr>
        <w:t xml:space="preserve">“Company X reported quarterly earnings above analyst expectations.”</w:t>
      </w:r>
    </w:p>
    <w:p>
      <w:pPr>
        <w:pStyle w:val="ListParagraph"/>
        <w:numPr>
          <w:ilvl w:val="0"/>
          <w:numId w:val="1"/>
        </w:numPr>
      </w:pPr>
      <w:r>
        <w:rPr>
          <w:b/>
          <w:bCs/>
          <w:i w:val="false"/>
          <w:iCs w:val="false"/>
          <w:color w:val="000000"/>
        </w:rPr>
        <w:t xml:space="preserve">Sınır durum: </w:t>
      </w:r>
      <w:r>
        <w:rPr>
          <w:b/>
          <w:bCs/>
          <w:i/>
          <w:iCs/>
          <w:color w:val="000000"/>
        </w:rPr>
        <w:t xml:space="preserve">“Revenue increased 10%, in line with expectations.”</w:t>
      </w:r>
      <w:r>
        <w:rPr>
          <w:b/>
          <w:bCs/>
          <w:i w:val="false"/>
          <w:iCs w:val="false"/>
          <w:color w:val="000000"/>
        </w:rPr>
        <w:t xml:space="preserve"> → Tarafsız (beklentiye uygun; yönlü sürpriz yok).</w:t>
      </w:r>
    </w:p>
    <w:p>
      <w:r>
        <w:rPr>
          <w:b/>
          <w:bCs/>
          <w:i w:val="false"/>
          <w:iCs w:val="false"/>
          <w:color w:val="000000"/>
        </w:rPr>
        <w:t xml:space="preserve">Negatif (olumsuz). Metin, ilgili şirket veya piyasa için net ve yönlü bir olumsuz etki taşır.</w:t>
      </w:r>
    </w:p>
    <w:p>
      <w:pPr>
        <w:pStyle w:val="ListParagraph"/>
        <w:numPr>
          <w:ilvl w:val="0"/>
          <w:numId w:val="1"/>
        </w:numPr>
      </w:pPr>
      <w:r>
        <w:rPr>
          <w:b/>
          <w:bCs/>
          <w:i w:val="false"/>
          <w:iCs w:val="false"/>
          <w:color w:val="000000"/>
        </w:rPr>
        <w:t xml:space="preserve">Örnek: </w:t>
      </w:r>
      <w:r>
        <w:rPr>
          <w:b/>
          <w:bCs/>
          <w:i/>
          <w:iCs/>
          <w:color w:val="000000"/>
        </w:rPr>
        <w:t xml:space="preserve">“Company X cut its full-year guidance.”</w:t>
      </w:r>
    </w:p>
    <w:p>
      <w:pPr>
        <w:pStyle w:val="ListParagraph"/>
        <w:numPr>
          <w:ilvl w:val="0"/>
          <w:numId w:val="1"/>
        </w:numPr>
      </w:pPr>
      <w:r>
        <w:rPr>
          <w:b/>
          <w:bCs/>
          <w:i w:val="false"/>
          <w:iCs w:val="false"/>
          <w:color w:val="000000"/>
        </w:rPr>
        <w:t xml:space="preserve">Sınır durum: </w:t>
      </w:r>
      <w:r>
        <w:rPr>
          <w:b/>
          <w:bCs/>
          <w:i/>
          <w:iCs/>
          <w:color w:val="000000"/>
        </w:rPr>
        <w:t xml:space="preserve">“Jobless claims drop below consensus.”</w:t>
      </w:r>
      <w:r>
        <w:rPr>
          <w:b/>
          <w:bCs/>
          <w:i w:val="false"/>
          <w:iCs w:val="false"/>
          <w:color w:val="000000"/>
        </w:rPr>
        <w:t xml:space="preserve"> → Pozitif (düşük işsizlik başvurusu olumlu makro sinyal; “drop” sözcüğü yüzeysel olarak olumsuz olsa da etki olumludur).</w:t>
      </w:r>
    </w:p>
    <w:p>
      <w:r>
        <w:rPr>
          <w:b/>
          <w:bCs/>
          <w:i w:val="false"/>
          <w:iCs w:val="false"/>
          <w:color w:val="000000"/>
        </w:rPr>
        <w:t xml:space="preserve">Tarafsız. Metin yönlü bir piyasa etkisi taşımaz; açıklayıcı, betimleyici, nötr kurumsal duyuru niteliğindedir veya karışık sinyaller dengededir.</w:t>
      </w:r>
    </w:p>
    <w:p>
      <w:pPr>
        <w:pStyle w:val="ListParagraph"/>
        <w:numPr>
          <w:ilvl w:val="0"/>
          <w:numId w:val="1"/>
        </w:numPr>
      </w:pPr>
      <w:r>
        <w:rPr>
          <w:b/>
          <w:bCs/>
          <w:i w:val="false"/>
          <w:iCs w:val="false"/>
          <w:color w:val="000000"/>
        </w:rPr>
        <w:t xml:space="preserve">Örnek: </w:t>
      </w:r>
      <w:r>
        <w:rPr>
          <w:b/>
          <w:bCs/>
          <w:i/>
          <w:iCs/>
          <w:color w:val="000000"/>
        </w:rPr>
        <w:t xml:space="preserve">“Company X announced the appointment of a new CFO.”</w:t>
      </w:r>
    </w:p>
    <w:p>
      <w:pPr>
        <w:pStyle w:val="ListParagraph"/>
        <w:numPr>
          <w:ilvl w:val="0"/>
          <w:numId w:val="1"/>
        </w:numPr>
      </w:pPr>
      <w:r>
        <w:rPr>
          <w:b/>
          <w:bCs/>
          <w:i w:val="false"/>
          <w:iCs w:val="false"/>
          <w:color w:val="000000"/>
        </w:rPr>
        <w:t xml:space="preserve">Sınır durum: </w:t>
      </w:r>
      <w:r>
        <w:rPr>
          <w:b/>
          <w:bCs/>
          <w:i/>
          <w:iCs/>
          <w:color w:val="000000"/>
        </w:rPr>
        <w:t xml:space="preserve">“Beef sales fell 8%; chicken rose 4.5%.”</w:t>
      </w:r>
      <w:r>
        <w:rPr>
          <w:b/>
          <w:bCs/>
          <w:i w:val="false"/>
          <w:iCs w:val="false"/>
          <w:color w:val="000000"/>
        </w:rPr>
        <w:t xml:space="preserve"> → Karışık sinyal, net yön yok → Tarafsız.</w:t>
      </w:r>
    </w:p>
    <w:p>
      <w:r>
        <w:rPr>
          <w:b/>
          <w:bCs/>
          <w:i w:val="false"/>
          <w:iCs w:val="false"/>
          <w:color w:val="000000"/>
        </w:rPr>
        <w:t xml:space="preserve">Karar sırası. (1)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r>
        <w:rPr>
          <w:b/>
          <w:bCs/>
          <w:i w:val="false"/>
          <w:iCs w:val="false"/>
          <w:color w:val="000000"/>
        </w:rPr>
        <w:t xml:space="preserve">3.4. Model aileleri ve sınıflandırma</w:t>
      </w:r>
    </w:p>
    <w:p>
      <w:r>
        <w:rPr>
          <w:b/>
          <w:bCs/>
          <w:i w:val="false"/>
          <w:iCs w:val="false"/>
          <w:color w:val="000000"/>
        </w:rPr>
        <w:t xml:space="preserve">Çalışmada kullanılan modeller, yalnızca isim üzerinden değil, ait oldukları model aileleri ve alt kırılımlar dikkate alınarak sınıflandırılmıştır. Genel şema: Makine öğrenmesi → Derin öğrenme → Transformer tabanlı modeller → Büyük dil modelleri (LLM). Bu çalışmada kullanılan tüm modeller, Transformer mimarisine dayalı, kodlayıcı-only (encoder-only) dil modelleridir; dolayısıyla “LLM” şemsiyesi altında değerlendirilebilirler. Ancak üretken (decoder-only) modeller bu çalışmanın kapsamı dışındadır.</w:t>
      </w:r>
    </w:p>
    <w:p>
      <w:r>
        <w:rPr>
          <w:b/>
          <w:bCs/>
          <w:i w:val="false"/>
          <w:iCs w:val="false"/>
          <w:color w:val="000000"/>
        </w:rPr>
        <w:t xml:space="preserve">Tablo 2. Model aileleri ve sınıflandırma.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p>
            <w:r>
              <w:rPr>
                <w:b/>
                <w:bCs/>
                <w:i w:val="false"/>
                <w:iCs w:val="false"/>
                <w:color w:val="000000"/>
              </w:rPr>
              <w:t xml:space="preserve">Model</w:t>
            </w:r>
          </w:p>
        </w:tc>
        <w:tc>
          <w:p>
            <w:r>
              <w:rPr>
                <w:b/>
                <w:bCs/>
                <w:i w:val="false"/>
                <w:iCs w:val="false"/>
                <w:color w:val="000000"/>
              </w:rPr>
              <w:t xml:space="preserve">Aile</w:t>
            </w:r>
          </w:p>
        </w:tc>
        <w:tc>
          <w:p>
            <w:r>
              <w:rPr>
                <w:b/>
                <w:bCs/>
                <w:i w:val="false"/>
                <w:iCs w:val="false"/>
                <w:color w:val="000000"/>
              </w:rPr>
              <w:t xml:space="preserve">Mimari</w:t>
            </w:r>
          </w:p>
        </w:tc>
        <w:tc>
          <w:p>
            <w:r>
              <w:rPr>
                <w:b/>
                <w:bCs/>
                <w:i w:val="false"/>
                <w:iCs w:val="false"/>
                <w:color w:val="000000"/>
              </w:rPr>
              <w:t xml:space="preserve">Parametre</w:t>
            </w:r>
          </w:p>
        </w:tc>
        <w:tc>
          <w:p>
            <w:r>
              <w:rPr>
                <w:b/>
                <w:bCs/>
                <w:i w:val="false"/>
                <w:iCs w:val="false"/>
                <w:color w:val="000000"/>
              </w:rPr>
              <w:t xml:space="preserve">Ön eğitim verisi</w:t>
            </w:r>
          </w:p>
        </w:tc>
        <w:tc>
          <w:p>
            <w:r>
              <w:rPr>
                <w:b/>
                <w:bCs/>
                <w:i w:val="false"/>
                <w:iCs w:val="false"/>
                <w:color w:val="000000"/>
              </w:rPr>
              <w:t xml:space="preserve">Alan</w:t>
            </w:r>
          </w:p>
        </w:tc>
        <w:tc>
          <w:p>
            <w:r>
              <w:rPr>
                <w:b/>
                <w:bCs/>
                <w:i w:val="false"/>
                <w:iCs w:val="false"/>
                <w:color w:val="000000"/>
              </w:rPr>
              <w:t xml:space="preserve">Görev</w:t>
            </w:r>
          </w:p>
        </w:tc>
      </w:tr>
      <w:tr>
        <w:tc>
          <w:p>
            <w:r>
              <w:rPr>
                <w:b/>
                <w:bCs/>
                <w:i w:val="false"/>
                <w:iCs w:val="false"/>
                <w:color w:val="000000"/>
              </w:rPr>
              <w:t xml:space="preserve">BERT-base-uncased</w:t>
            </w:r>
          </w:p>
        </w:tc>
        <w:tc>
          <w:p>
            <w:r>
              <w:rPr>
                <w:b/>
                <w:bCs/>
                <w:i w:val="false"/>
                <w:iCs w:val="false"/>
                <w:color w:val="000000"/>
              </w:rPr>
              <w:t xml:space="preserve">BERT</w:t>
            </w:r>
          </w:p>
        </w:tc>
        <w:tc>
          <w:p>
            <w:r>
              <w:rPr>
                <w:b/>
                <w:bCs/>
                <w:i w:val="false"/>
                <w:iCs w:val="false"/>
                <w:color w:val="000000"/>
              </w:rPr>
              <w:t xml:space="preserve">Encoder-only, 12 katman</w:t>
            </w:r>
          </w:p>
        </w:tc>
        <w:tc>
          <w:p>
            <w:r>
              <w:rPr>
                <w:b/>
                <w:bCs/>
                <w:i w:val="false"/>
                <w:iCs w:val="false"/>
                <w:color w:val="000000"/>
              </w:rPr>
              <w:t xml:space="preserve">~110M</w:t>
            </w:r>
          </w:p>
        </w:tc>
        <w:tc>
          <w:p>
            <w:r>
              <w:rPr>
                <w:b/>
                <w:bCs/>
                <w:i w:val="false"/>
                <w:iCs w:val="false"/>
                <w:color w:val="000000"/>
              </w:rPr>
              <w:t xml:space="preserve">Wikipedia + BooksCorpus</w:t>
            </w:r>
          </w:p>
        </w:tc>
        <w:tc>
          <w:p>
            <w:r>
              <w:rPr>
                <w:b/>
                <w:bCs/>
                <w:i w:val="false"/>
                <w:iCs w:val="false"/>
                <w:color w:val="000000"/>
              </w:rPr>
              <w:t xml:space="preserve">Genel</w:t>
            </w:r>
          </w:p>
        </w:tc>
        <w:tc>
          <w:p>
            <w:r>
              <w:rPr>
                <w:b/>
                <w:bCs/>
                <w:i w:val="false"/>
                <w:iCs w:val="false"/>
                <w:color w:val="000000"/>
              </w:rPr>
              <w:t xml:space="preserve">MLM + NSP</w:t>
            </w:r>
          </w:p>
        </w:tc>
      </w:tr>
      <w:tr>
        <w:tc>
          <w:p>
            <w:r>
              <w:rPr>
                <w:b/>
                <w:bCs/>
                <w:i w:val="false"/>
                <w:iCs w:val="false"/>
                <w:color w:val="000000"/>
              </w:rPr>
              <w:t xml:space="preserve">DistilBERT-base-uncased</w:t>
            </w:r>
          </w:p>
        </w:tc>
        <w:tc>
          <w:p>
            <w:r>
              <w:rPr>
                <w:b/>
                <w:bCs/>
                <w:i w:val="false"/>
                <w:iCs w:val="false"/>
                <w:color w:val="000000"/>
              </w:rPr>
              <w:t xml:space="preserve">BERT (damıtılmış)</w:t>
            </w:r>
          </w:p>
        </w:tc>
        <w:tc>
          <w:p>
            <w:r>
              <w:rPr>
                <w:b/>
                <w:bCs/>
                <w:i w:val="false"/>
                <w:iCs w:val="false"/>
                <w:color w:val="000000"/>
              </w:rPr>
              <w:t xml:space="preserve">Encoder-only, 6 katman</w:t>
            </w:r>
          </w:p>
        </w:tc>
        <w:tc>
          <w:p>
            <w:r>
              <w:rPr>
                <w:b/>
                <w:bCs/>
                <w:i w:val="false"/>
                <w:iCs w:val="false"/>
                <w:color w:val="000000"/>
              </w:rPr>
              <w:t xml:space="preserve">~67M</w:t>
            </w:r>
          </w:p>
        </w:tc>
        <w:tc>
          <w:p>
            <w:r>
              <w:rPr>
                <w:b/>
                <w:bCs/>
                <w:i w:val="false"/>
                <w:iCs w:val="false"/>
                <w:color w:val="000000"/>
              </w:rPr>
              <w:t xml:space="preserve">BERT’ten bilgi damıtma</w:t>
            </w:r>
          </w:p>
        </w:tc>
        <w:tc>
          <w:p>
            <w:r>
              <w:rPr>
                <w:b/>
                <w:bCs/>
                <w:i w:val="false"/>
                <w:iCs w:val="false"/>
                <w:color w:val="000000"/>
              </w:rPr>
              <w:t xml:space="preserve">Genel</w:t>
            </w:r>
          </w:p>
        </w:tc>
        <w:tc>
          <w:p>
            <w:r>
              <w:rPr>
                <w:b/>
                <w:bCs/>
                <w:i w:val="false"/>
                <w:iCs w:val="false"/>
                <w:color w:val="000000"/>
              </w:rPr>
              <w:t xml:space="preserve">MLM</w:t>
            </w:r>
          </w:p>
        </w:tc>
      </w:tr>
      <w:tr>
        <w:tc>
          <w:p>
            <w:r>
              <w:rPr>
                <w:b/>
                <w:bCs/>
                <w:i w:val="false"/>
                <w:iCs w:val="false"/>
                <w:color w:val="000000"/>
              </w:rPr>
              <w:t xml:space="preserve">RoBERTa-base</w:t>
            </w:r>
          </w:p>
        </w:tc>
        <w:tc>
          <w:p>
            <w:r>
              <w:rPr>
                <w:b/>
                <w:bCs/>
                <w:i w:val="false"/>
                <w:iCs w:val="false"/>
                <w:color w:val="000000"/>
              </w:rPr>
              <w:t xml:space="preserve">BERT türevi</w:t>
            </w:r>
          </w:p>
        </w:tc>
        <w:tc>
          <w:p>
            <w:r>
              <w:rPr>
                <w:b/>
                <w:bCs/>
                <w:i w:val="false"/>
                <w:iCs w:val="false"/>
                <w:color w:val="000000"/>
              </w:rPr>
              <w:t xml:space="preserve">Encoder-only, 12 katman</w:t>
            </w:r>
          </w:p>
        </w:tc>
        <w:tc>
          <w:p>
            <w:r>
              <w:rPr>
                <w:b/>
                <w:bCs/>
                <w:i w:val="false"/>
                <w:iCs w:val="false"/>
                <w:color w:val="000000"/>
              </w:rPr>
              <w:t xml:space="preserve">~125M</w:t>
            </w:r>
          </w:p>
        </w:tc>
        <w:tc>
          <w:p>
            <w:r>
              <w:rPr>
                <w:b/>
                <w:bCs/>
                <w:i w:val="false"/>
                <w:iCs w:val="false"/>
                <w:color w:val="000000"/>
              </w:rPr>
              <w:t xml:space="preserve">160GB metin</w:t>
            </w:r>
          </w:p>
        </w:tc>
        <w:tc>
          <w:p>
            <w:r>
              <w:rPr>
                <w:b/>
                <w:bCs/>
                <w:i w:val="false"/>
                <w:iCs w:val="false"/>
                <w:color w:val="000000"/>
              </w:rPr>
              <w:t xml:space="preserve">Genel</w:t>
            </w:r>
          </w:p>
        </w:tc>
        <w:tc>
          <w:p>
            <w:r>
              <w:rPr>
                <w:b/>
                <w:bCs/>
                <w:i w:val="false"/>
                <w:iCs w:val="false"/>
                <w:color w:val="000000"/>
              </w:rPr>
              <w:t xml:space="preserve">MLM (NSP yok)</w:t>
            </w:r>
          </w:p>
        </w:tc>
      </w:tr>
      <w:tr>
        <w:tc>
          <w:p>
            <w:r>
              <w:rPr>
                <w:b/>
                <w:bCs/>
                <w:i w:val="false"/>
                <w:iCs w:val="false"/>
                <w:color w:val="000000"/>
              </w:rPr>
              <w:t xml:space="preserve">ProsusAI/finbert</w:t>
            </w:r>
          </w:p>
        </w:tc>
        <w:tc>
          <w:p>
            <w:r>
              <w:rPr>
                <w:b/>
                <w:bCs/>
                <w:i w:val="false"/>
                <w:iCs w:val="false"/>
                <w:color w:val="000000"/>
              </w:rPr>
              <w:t xml:space="preserve">BERT + alan uyarlaması</w:t>
            </w:r>
          </w:p>
        </w:tc>
        <w:tc>
          <w:p>
            <w:r>
              <w:rPr>
                <w:b/>
                <w:bCs/>
                <w:i w:val="false"/>
                <w:iCs w:val="false"/>
                <w:color w:val="000000"/>
              </w:rPr>
              <w:t xml:space="preserve">Encoder-only, 12 katman</w:t>
            </w:r>
          </w:p>
        </w:tc>
        <w:tc>
          <w:p>
            <w:r>
              <w:rPr>
                <w:b/>
                <w:bCs/>
                <w:i w:val="false"/>
                <w:iCs w:val="false"/>
                <w:color w:val="000000"/>
              </w:rPr>
              <w:t xml:space="preserve">~110M</w:t>
            </w:r>
          </w:p>
        </w:tc>
        <w:tc>
          <w:p>
            <w:r>
              <w:rPr>
                <w:b/>
                <w:bCs/>
                <w:i w:val="false"/>
                <w:iCs w:val="false"/>
                <w:color w:val="000000"/>
              </w:rPr>
              <w:t xml:space="preserve">Reuters TRC2 + Financial PhraseBank</w:t>
            </w:r>
          </w:p>
        </w:tc>
        <w:tc>
          <w:p>
            <w:r>
              <w:rPr>
                <w:b/>
                <w:bCs/>
                <w:i w:val="false"/>
                <w:iCs w:val="false"/>
                <w:color w:val="000000"/>
              </w:rPr>
              <w:t xml:space="preserve">Finans</w:t>
            </w:r>
          </w:p>
        </w:tc>
        <w:tc>
          <w:p>
            <w:r>
              <w:rPr>
                <w:b/>
                <w:bCs/>
                <w:i w:val="false"/>
                <w:iCs w:val="false"/>
                <w:color w:val="000000"/>
              </w:rPr>
              <w:t xml:space="preserve">MLM + duygu ince ayarı</w:t>
            </w:r>
          </w:p>
        </w:tc>
      </w:tr>
      <w:tr>
        <w:tc>
          <w:p>
            <w:r>
              <w:rPr>
                <w:b/>
                <w:bCs/>
                <w:i w:val="false"/>
                <w:iCs w:val="false"/>
                <w:color w:val="000000"/>
              </w:rPr>
              <w:t xml:space="preserve">BART-large-MNLI</w:t>
            </w:r>
          </w:p>
        </w:tc>
        <w:tc>
          <w:p>
            <w:r>
              <w:rPr>
                <w:b/>
                <w:bCs/>
                <w:i w:val="false"/>
                <w:iCs w:val="false"/>
                <w:color w:val="000000"/>
              </w:rPr>
              <w:t xml:space="preserve">BART (encoder-decoder)</w:t>
            </w:r>
          </w:p>
        </w:tc>
        <w:tc>
          <w:p>
            <w:r>
              <w:rPr>
                <w:b/>
                <w:bCs/>
                <w:i w:val="false"/>
                <w:iCs w:val="false"/>
                <w:color w:val="000000"/>
              </w:rPr>
              <w:t xml:space="preserve">Seq2seq</w:t>
            </w:r>
          </w:p>
        </w:tc>
        <w:tc>
          <w:p>
            <w:r>
              <w:rPr>
                <w:b/>
                <w:bCs/>
                <w:i w:val="false"/>
                <w:iCs w:val="false"/>
                <w:color w:val="000000"/>
              </w:rPr>
              <w:t xml:space="preserve">~400M</w:t>
            </w:r>
          </w:p>
        </w:tc>
        <w:tc>
          <w:p>
            <w:r>
              <w:rPr>
                <w:b/>
                <w:bCs/>
                <w:i w:val="false"/>
                <w:iCs w:val="false"/>
                <w:color w:val="000000"/>
              </w:rPr>
              <w:t xml:space="preserve">MNLI</w:t>
            </w:r>
          </w:p>
        </w:tc>
        <w:tc>
          <w:p>
            <w:r>
              <w:rPr>
                <w:b/>
                <w:bCs/>
                <w:i w:val="false"/>
                <w:iCs w:val="false"/>
                <w:color w:val="000000"/>
              </w:rPr>
              <w:t xml:space="preserve">Genel</w:t>
            </w:r>
          </w:p>
        </w:tc>
        <w:tc>
          <w:p>
            <w:r>
              <w:rPr>
                <w:b/>
                <w:bCs/>
                <w:i w:val="false"/>
                <w:iCs w:val="false"/>
                <w:color w:val="000000"/>
              </w:rPr>
              <w:t xml:space="preserve">NLI (sıfır örnekli)</w:t>
            </w:r>
          </w:p>
        </w:tc>
      </w:tr>
      <w:tr>
        <w:tc>
          <w:p>
            <w:r>
              <w:rPr>
                <w:b/>
                <w:bCs/>
                <w:i w:val="false"/>
                <w:iCs w:val="false"/>
                <w:color w:val="000000"/>
              </w:rPr>
              <w:t xml:space="preserve">BERT-base-MNLI, RoBERTa-base-NLI, DistilBERT-base-MNLI</w:t>
            </w:r>
          </w:p>
        </w:tc>
        <w:tc>
          <w:p>
            <w:r>
              <w:rPr>
                <w:b/>
                <w:bCs/>
                <w:i w:val="false"/>
                <w:iCs w:val="false"/>
                <w:color w:val="000000"/>
              </w:rPr>
              <w:t xml:space="preserve">BERT ailesi + NLI</w:t>
            </w:r>
          </w:p>
        </w:tc>
        <w:tc>
          <w:p>
            <w:r>
              <w:rPr>
                <w:b/>
                <w:bCs/>
                <w:i w:val="false"/>
                <w:iCs w:val="false"/>
                <w:color w:val="000000"/>
              </w:rPr>
              <w:t xml:space="preserve">Encoder-only</w:t>
            </w:r>
          </w:p>
        </w:tc>
        <w:tc>
          <w:p>
            <w:r>
              <w:rPr>
                <w:b/>
                <w:bCs/>
                <w:i w:val="false"/>
                <w:iCs w:val="false"/>
                <w:color w:val="000000"/>
              </w:rPr>
              <w:t xml:space="preserve">67–125M</w:t>
            </w:r>
          </w:p>
        </w:tc>
        <w:tc>
          <w:p>
            <w:r>
              <w:rPr>
                <w:b/>
                <w:bCs/>
                <w:i w:val="false"/>
                <w:iCs w:val="false"/>
                <w:color w:val="000000"/>
              </w:rPr>
              <w:t xml:space="preserve">MNLI</w:t>
            </w:r>
          </w:p>
        </w:tc>
        <w:tc>
          <w:p>
            <w:r>
              <w:rPr>
                <w:b/>
                <w:bCs/>
                <w:i w:val="false"/>
                <w:iCs w:val="false"/>
                <w:color w:val="000000"/>
              </w:rPr>
              <w:t xml:space="preserve">Genel</w:t>
            </w:r>
          </w:p>
        </w:tc>
        <w:tc>
          <w:p>
            <w:r>
              <w:rPr>
                <w:b/>
                <w:bCs/>
                <w:i w:val="false"/>
                <w:iCs w:val="false"/>
                <w:color w:val="000000"/>
              </w:rPr>
              <w:t xml:space="preserve">NLI (sıfır örnekli)</w:t>
            </w:r>
          </w:p>
        </w:tc>
      </w:tr>
    </w:tbl>
    <w:p>
      <w:r>
        <w:rPr>
          <w:b/>
          <w:bCs/>
          <w:i w:val="false"/>
          <w:iCs w:val="false"/>
          <w:color w:val="000000"/>
        </w:rPr>
        <w:t xml:space="preserve">Hazır FinBERT alan-özgü ön eğitimin temel modeli; hedef veri setine ince ayarlı FinBERT ise alan ön eğitimi ile görev-özel ince ayarın birleşik etkisini ölçen model olarak ele alınmıştır.</w:t>
      </w:r>
    </w:p>
    <w:p>
      <w:r>
        <w:rPr>
          <w:b/>
          <w:bCs/>
          <w:i w:val="false"/>
          <w:iCs w:val="false"/>
          <w:color w:val="000000"/>
        </w:rPr>
        <w:t xml:space="preserve">3.5. Sentetik veri üretimi</w:t>
      </w:r>
    </w:p>
    <w:p>
      <w:r>
        <w:rPr>
          <w:b/>
          <w:bCs/>
          <w:i w:val="false"/>
          <w:iCs w:val="false"/>
          <w:color w:val="000000"/>
        </w:rPr>
        <w:t xml:space="preserve">Bu çalışmada “sentetik veri” ile “LLM tarafından etiketlenen gerçek veri” birbirinden ayrılmıştır:</w:t>
      </w:r>
    </w:p>
    <w:p>
      <w:pPr>
        <w:pStyle w:val="ListParagraph"/>
        <w:numPr>
          <w:ilvl w:val="0"/>
          <w:numId w:val="1"/>
        </w:numPr>
      </w:pPr>
      <w:r>
        <w:rPr>
          <w:b/>
          <w:bCs/>
          <w:i w:val="false"/>
          <w:iCs w:val="false"/>
          <w:color w:val="000000"/>
        </w:rPr>
        <w:t xml:space="preserve">Sentetik set (3.000 örnek). 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pPr>
        <w:pStyle w:val="ListParagraph"/>
        <w:numPr>
          <w:ilvl w:val="0"/>
          <w:numId w:val="1"/>
        </w:numPr>
      </w:pPr>
      <w:r>
        <w:rPr>
          <w:b/>
          <w:bCs/>
          <w:i w:val="false"/>
          <w:iCs w:val="false"/>
          <w:color w:val="000000"/>
        </w:rPr>
        <w:t xml:space="preserve">LLM-etiketli gerçek veri (S&amp;P 500 ve Reuters). Metinler gerçek kaynaklardan alınmış; etiketler tek araştırmacı tarafından LLM açıklama desteğiyle atanmıştır. Bu setler “sentetik” değildir.</w:t>
      </w:r>
    </w:p>
    <w:p>
      <w:r>
        <w:rPr>
          <w:b/>
          <w:bCs/>
          <w:i w:val="false"/>
          <w:iCs w:val="false"/>
          <w:color w:val="000000"/>
        </w:rPr>
        <w:t xml:space="preserve">Sentetik setin amacı, modellerin açık duygu ipuçları içeren kontrol örneklerindeki davranışını ölçmek ve gerçek dış testlerle karşıtlık kurmaktır. Sentetik performans, gerçek dünya genellemesi göstergesi olarak yorumlanmamıştır.</w:t>
      </w:r>
    </w:p>
    <w:p>
      <w:r>
        <w:rPr>
          <w:b/>
          <w:bCs/>
          <w:i w:val="false"/>
          <w:iCs w:val="false"/>
          <w:color w:val="000000"/>
        </w:rPr>
        <w:t xml:space="preserve">3.6. Eğitim ayarları</w:t>
      </w:r>
    </w:p>
    <w:p>
      <w:r>
        <w:rPr>
          <w:b/>
          <w:bCs/>
          <w:i w:val="false"/>
          <w:iCs w:val="false"/>
          <w:color w:val="000000"/>
        </w:rPr>
        <w:t xml:space="preserve">İnce ayar deneylerinde dört dönem, 2×10⁻⁵ öğrenme oranı, 16 eğitim yığın boyutu, 32 değerlendirme yığın boyutu, 128 maksimum dizi uzunluğu ve 0,01 ağırlık azaltma kullanılmış; sınıf dengesizliği nedeniyle eğitim kaybına sınıf ağırlıkları dahil edilmiştir. Model seçimi doğrulama Macro-F1 değerine göre yapılmış, eğitim ve çoklu tohum çalıştırmaları CPU ortamında yürütülmüştür. Deney ortamı Python 3.14.2, PyTorch 2.11.0+cpu, Transformers 5.8.1, Datasets 4.5.0 ve scikit-learn 1.8.0 bileşenlerinden oluşmaktadır.</w:t>
      </w:r>
    </w:p>
    <w:p>
      <w:r>
        <w:rPr>
          <w:b/>
          <w:bCs/>
          <w:i w:val="false"/>
          <w:iCs w:val="false"/>
          <w:color w:val="000000"/>
        </w:rPr>
        <w:t xml:space="preserve">3.7. Değerlendirme ölçütleri ve istatistiksel analiz</w:t>
      </w:r>
    </w:p>
    <w:p>
      <w:r>
        <w:rPr>
          <w:b/>
          <w:bCs/>
          <w:i w:val="false"/>
          <w:iCs w:val="false"/>
          <w:color w:val="000000"/>
        </w:rPr>
        <w:t xml:space="preserve">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r>
        <w:rPr>
          <w:b/>
          <w:bCs/>
          <w:i w:val="false"/>
          <w:iCs w:val="false"/>
          <w:color w:val="000000"/>
        </w:rPr>
        <w:t xml:space="preserve">3.8. Etik, geçerlik ve tekrarlanabilirlik</w:t>
      </w:r>
    </w:p>
    <w:p>
      <w:r>
        <w:rPr>
          <w:b/>
          <w:bCs/>
          <w:i w:val="false"/>
          <w:iCs w:val="false"/>
          <w:color w:val="000000"/>
        </w:rPr>
        <w:t xml:space="preserve">Etik. S&amp;P 500 ve Reuters dış test setlerinin nihai etiketleri araştırmacı tarafından belirlenmiş; etiketleme sırasında ChatGPT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r>
        <w:rPr>
          <w:b/>
          <w:bCs/>
          <w:i w:val="false"/>
          <w:iCs w:val="false"/>
          <w:color w:val="000000"/>
        </w:rPr>
        <w:t xml:space="preserve">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r>
        <w:rPr>
          <w:b/>
          <w:bCs/>
          <w:i w:val="false"/>
          <w:iCs w:val="false"/>
          <w:color w:val="000000"/>
        </w:rPr>
        <w:t xml:space="preserve">Tekrarlanabilirlik. Veri hazırlama kodu, split dosyaları, eğitim betikleri ve eğitilmiş model ağırlıkları kamuya açık bir depoda (GitHub + Zenodo DOI) paylaşılmıştır. Rastgelelik tohumları (42, 123, 2024), kütüphane sürümleri ve donanım ortamı raporlanmıştır. Veri kaynakları HuggingFace ve kamuya açık haber arşivlerinden erişilebilir durumdadır.</w:t>
      </w:r>
    </w:p>
    <w:p>
      <w:r>
        <w:rPr>
          <w:b/>
          <w:bCs/>
          <w:i w:val="false"/>
          <w:iCs w:val="false"/>
          <w:color w:val="000000"/>
        </w:rPr>
        <w:t xml:space="preserve">4. Bulgular</w:t>
      </w:r>
    </w:p>
    <w:p>
      <w:r>
        <w:rPr>
          <w:b/>
          <w:bCs/>
          <w:i w:val="false"/>
          <w:iCs w:val="false"/>
          <w:color w:val="000000"/>
        </w:rPr>
        <w:t xml:space="preserve">4.1. Hazır FinBERT temel model</w:t>
      </w:r>
    </w:p>
    <w:p>
      <w:r>
        <w:rPr>
          <w:b/>
          <w:bCs/>
          <w:i w:val="false"/>
          <w:iCs w:val="false"/>
          <w:color w:val="000000"/>
        </w:rPr>
        <w:t xml:space="preserve">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p>
    <w:p>
      <w:r>
        <w:rPr>
          <w:b/>
          <w:bCs/>
          <w:i w:val="false"/>
          <w:iCs w:val="false"/>
          <w:color w:val="000000"/>
        </w:rPr>
        <w:t xml:space="preserve">4.2. İç test sonuçları</w:t>
      </w:r>
    </w:p>
    <w:p>
      <w:r>
        <w:rPr>
          <w:b/>
          <w:bCs/>
          <w:i w:val="false"/>
          <w:iCs w:val="false"/>
          <w:color w:val="000000"/>
        </w:rPr>
        <w:t xml:space="preserve">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w:t>
      </w:r>
    </w:p>
    <w:p>
      <w:r>
        <w:rPr>
          <w:b/>
          <w:bCs/>
          <w:i w:val="false"/>
          <w:iCs w:val="false"/>
          <w:color w:val="000000"/>
        </w:rPr>
        <w:t xml:space="preserve">Tablo 3. İnce ayarlı modellerin 42 numaralı tohumdaki iç test sonuçları.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i w:val="false"/>
                <w:iCs w:val="false"/>
                <w:color w:val="000000"/>
              </w:rPr>
              <w:t xml:space="preserve">Model</w:t>
            </w:r>
          </w:p>
        </w:tc>
        <w:tc>
          <w:p>
            <w:r>
              <w:rPr>
                <w:b/>
                <w:bCs/>
                <w:i w:val="false"/>
                <w:iCs w:val="false"/>
                <w:color w:val="000000"/>
              </w:rPr>
              <w:t xml:space="preserve">Test doğruluğu</w:t>
            </w:r>
          </w:p>
        </w:tc>
        <w:tc>
          <w:p>
            <w:r>
              <w:rPr>
                <w:b/>
                <w:bCs/>
                <w:i w:val="false"/>
                <w:iCs w:val="false"/>
                <w:color w:val="000000"/>
              </w:rPr>
              <w:t xml:space="preserve">Test Macro-F1</w:t>
            </w:r>
          </w:p>
        </w:tc>
        <w:tc>
          <w:p>
            <w:r>
              <w:rPr>
                <w:b/>
                <w:bCs/>
                <w:i w:val="false"/>
                <w:iCs w:val="false"/>
                <w:color w:val="000000"/>
              </w:rPr>
              <w:t xml:space="preserve">Test Weighted-F1</w:t>
            </w:r>
          </w:p>
        </w:tc>
      </w:tr>
      <w:tr>
        <w:tc>
          <w:p>
            <w:r>
              <w:rPr>
                <w:b/>
                <w:bCs/>
                <w:i w:val="false"/>
                <w:iCs w:val="false"/>
                <w:color w:val="000000"/>
              </w:rPr>
              <w:t xml:space="preserve">RoBERTa-base</w:t>
            </w:r>
          </w:p>
        </w:tc>
        <w:tc>
          <w:p>
            <w:r>
              <w:rPr>
                <w:b/>
                <w:bCs/>
                <w:i w:val="false"/>
                <w:iCs w:val="false"/>
                <w:color w:val="000000"/>
              </w:rPr>
              <w:t xml:space="preserve">0,8906</w:t>
            </w:r>
          </w:p>
        </w:tc>
        <w:tc>
          <w:p>
            <w:r>
              <w:rPr>
                <w:b/>
                <w:bCs/>
                <w:i w:val="false"/>
                <w:iCs w:val="false"/>
                <w:color w:val="000000"/>
              </w:rPr>
              <w:t xml:space="preserve">0,8651</w:t>
            </w:r>
          </w:p>
        </w:tc>
        <w:tc>
          <w:p>
            <w:r>
              <w:rPr>
                <w:b/>
                <w:bCs/>
                <w:i w:val="false"/>
                <w:iCs w:val="false"/>
                <w:color w:val="000000"/>
              </w:rPr>
              <w:t xml:space="preserve">0,8918</w:t>
            </w:r>
          </w:p>
        </w:tc>
      </w:tr>
      <w:tr>
        <w:tc>
          <w:p>
            <w:r>
              <w:rPr>
                <w:b/>
                <w:bCs/>
                <w:i w:val="false"/>
                <w:iCs w:val="false"/>
                <w:color w:val="000000"/>
              </w:rPr>
              <w:t xml:space="preserve">İnce ayarlı FinBERT</w:t>
            </w:r>
          </w:p>
        </w:tc>
        <w:tc>
          <w:p>
            <w:r>
              <w:rPr>
                <w:b/>
                <w:bCs/>
                <w:i w:val="false"/>
                <w:iCs w:val="false"/>
                <w:color w:val="000000"/>
              </w:rPr>
              <w:t xml:space="preserve">0,8818</w:t>
            </w:r>
          </w:p>
        </w:tc>
        <w:tc>
          <w:p>
            <w:r>
              <w:rPr>
                <w:b/>
                <w:bCs/>
                <w:i w:val="false"/>
                <w:iCs w:val="false"/>
                <w:color w:val="000000"/>
              </w:rPr>
              <w:t xml:space="preserve">0,8512</w:t>
            </w:r>
          </w:p>
        </w:tc>
        <w:tc>
          <w:p>
            <w:r>
              <w:rPr>
                <w:b/>
                <w:bCs/>
                <w:i w:val="false"/>
                <w:iCs w:val="false"/>
                <w:color w:val="000000"/>
              </w:rPr>
              <w:t xml:space="preserve">0,8829</w:t>
            </w:r>
          </w:p>
        </w:tc>
      </w:tr>
      <w:tr>
        <w:tc>
          <w:p>
            <w:r>
              <w:rPr>
                <w:b/>
                <w:bCs/>
                <w:i w:val="false"/>
                <w:iCs w:val="false"/>
                <w:color w:val="000000"/>
              </w:rPr>
              <w:t xml:space="preserve">BERT-base-uncased</w:t>
            </w:r>
          </w:p>
        </w:tc>
        <w:tc>
          <w:p>
            <w:r>
              <w:rPr>
                <w:b/>
                <w:bCs/>
                <w:i w:val="false"/>
                <w:iCs w:val="false"/>
                <w:color w:val="000000"/>
              </w:rPr>
              <w:t xml:space="preserve">0,8722</w:t>
            </w:r>
          </w:p>
        </w:tc>
        <w:tc>
          <w:p>
            <w:r>
              <w:rPr>
                <w:b/>
                <w:bCs/>
                <w:i w:val="false"/>
                <w:iCs w:val="false"/>
                <w:color w:val="000000"/>
              </w:rPr>
              <w:t xml:space="preserve">0,8378</w:t>
            </w:r>
          </w:p>
        </w:tc>
        <w:tc>
          <w:p>
            <w:r>
              <w:rPr>
                <w:b/>
                <w:bCs/>
                <w:i w:val="false"/>
                <w:iCs w:val="false"/>
                <w:color w:val="000000"/>
              </w:rPr>
              <w:t xml:space="preserve">0,8733</w:t>
            </w:r>
          </w:p>
        </w:tc>
      </w:tr>
      <w:tr>
        <w:tc>
          <w:p>
            <w:r>
              <w:rPr>
                <w:b/>
                <w:bCs/>
                <w:i w:val="false"/>
                <w:iCs w:val="false"/>
                <w:color w:val="000000"/>
              </w:rPr>
              <w:t xml:space="preserve">DistilBERT-base-uncased</w:t>
            </w:r>
          </w:p>
        </w:tc>
        <w:tc>
          <w:p>
            <w:r>
              <w:rPr>
                <w:b/>
                <w:bCs/>
                <w:i w:val="false"/>
                <w:iCs w:val="false"/>
                <w:color w:val="000000"/>
              </w:rPr>
              <w:t xml:space="preserve">0,8583</w:t>
            </w:r>
          </w:p>
        </w:tc>
        <w:tc>
          <w:p>
            <w:r>
              <w:rPr>
                <w:b/>
                <w:bCs/>
                <w:i w:val="false"/>
                <w:iCs w:val="false"/>
                <w:color w:val="000000"/>
              </w:rPr>
              <w:t xml:space="preserve">0,8218</w:t>
            </w:r>
          </w:p>
        </w:tc>
        <w:tc>
          <w:p>
            <w:r>
              <w:rPr>
                <w:b/>
                <w:bCs/>
                <w:i w:val="false"/>
                <w:iCs w:val="false"/>
                <w:color w:val="000000"/>
              </w:rPr>
              <w:t xml:space="preserve">0,8593</w:t>
            </w:r>
          </w:p>
        </w:tc>
      </w:tr>
      <w:tr>
        <w:tc>
          <w:p>
            <w:r>
              <w:rPr>
                <w:b/>
                <w:bCs/>
                <w:i w:val="false"/>
                <w:iCs w:val="false"/>
                <w:color w:val="000000"/>
              </w:rPr>
              <w:t xml:space="preserve">Hazır FinBERT</w:t>
            </w:r>
          </w:p>
        </w:tc>
        <w:tc>
          <w:p>
            <w:r>
              <w:rPr>
                <w:b/>
                <w:bCs/>
                <w:i w:val="false"/>
                <w:iCs w:val="false"/>
                <w:color w:val="000000"/>
              </w:rPr>
              <w:t xml:space="preserve">0,7323</w:t>
            </w:r>
          </w:p>
        </w:tc>
        <w:tc>
          <w:p>
            <w:r>
              <w:rPr>
                <w:b/>
                <w:bCs/>
                <w:i w:val="false"/>
                <w:iCs w:val="false"/>
                <w:color w:val="000000"/>
              </w:rPr>
              <w:t xml:space="preserve">0,6794</w:t>
            </w:r>
          </w:p>
        </w:tc>
        <w:tc>
          <w:p>
            <w:r>
              <w:rPr>
                <w:b/>
                <w:bCs/>
                <w:i w:val="false"/>
                <w:iCs w:val="false"/>
                <w:color w:val="000000"/>
              </w:rPr>
              <w:t xml:space="preserve">0,7400</w:t>
            </w:r>
          </w:p>
        </w:tc>
      </w:tr>
    </w:tbl>
    <w:p>
      <w:r>
        <w:rPr>
          <w:b/>
          <w:bCs/>
          <w:i w:val="false"/>
          <w:iCs w:val="false"/>
          <w:color w:val="000000"/>
        </w:rPr>
        <w:t xml:space="preserve">4.3. Çoklu tohum sonuçları ve yeniden üretilebilirlik</w:t>
      </w:r>
    </w:p>
    <w:p>
      <w:r>
        <w:rPr>
          <w:b/>
          <w:bCs/>
          <w:i w:val="false"/>
          <w:iCs w:val="false"/>
          <w:color w:val="000000"/>
        </w:rPr>
        <w:t xml:space="preserve">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r>
        <w:rPr>
          <w:b/>
          <w:bCs/>
          <w:i w:val="false"/>
          <w:iCs w:val="false"/>
          <w:color w:val="000000"/>
        </w:rPr>
        <w:t xml:space="preserve">Tablo 4. Üç rastgelelik tohumu için iç test performansı (ortalama ± standart sapma).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i w:val="false"/>
                <w:iCs w:val="false"/>
                <w:color w:val="000000"/>
              </w:rPr>
              <w:t xml:space="preserve">Model</w:t>
            </w:r>
          </w:p>
        </w:tc>
        <w:tc>
          <w:p>
            <w:r>
              <w:rPr>
                <w:b/>
                <w:bCs/>
                <w:i w:val="false"/>
                <w:iCs w:val="false"/>
                <w:color w:val="000000"/>
              </w:rPr>
              <w:t xml:space="preserve">Doğruluk</w:t>
            </w:r>
          </w:p>
        </w:tc>
        <w:tc>
          <w:p>
            <w:r>
              <w:rPr>
                <w:b/>
                <w:bCs/>
                <w:i w:val="false"/>
                <w:iCs w:val="false"/>
                <w:color w:val="000000"/>
              </w:rPr>
              <w:t xml:space="preserve">Macro-F1</w:t>
            </w:r>
          </w:p>
        </w:tc>
        <w:tc>
          <w:p>
            <w:r>
              <w:rPr>
                <w:b/>
                <w:bCs/>
                <w:i w:val="false"/>
                <w:iCs w:val="false"/>
                <w:color w:val="000000"/>
              </w:rPr>
              <w:t xml:space="preserve">Weighted-F1</w:t>
            </w:r>
          </w:p>
        </w:tc>
      </w:tr>
      <w:tr>
        <w:tc>
          <w:p>
            <w:r>
              <w:rPr>
                <w:b/>
                <w:bCs/>
                <w:i w:val="false"/>
                <w:iCs w:val="false"/>
                <w:color w:val="000000"/>
              </w:rPr>
              <w:t xml:space="preserve">RoBERTa-base</w:t>
            </w:r>
          </w:p>
        </w:tc>
        <w:tc>
          <w:p>
            <w:r>
              <w:rPr>
                <w:b/>
                <w:bCs/>
                <w:i w:val="false"/>
                <w:iCs w:val="false"/>
                <w:color w:val="000000"/>
              </w:rPr>
              <w:t xml:space="preserve">0,8975 ± 0,0059</w:t>
            </w:r>
          </w:p>
        </w:tc>
        <w:tc>
          <w:p>
            <w:r>
              <w:rPr>
                <w:b/>
                <w:bCs/>
                <w:i w:val="false"/>
                <w:iCs w:val="false"/>
                <w:color w:val="000000"/>
              </w:rPr>
              <w:t xml:space="preserve">0,8728 ± 0,0068</w:t>
            </w:r>
          </w:p>
        </w:tc>
        <w:tc>
          <w:p>
            <w:r>
              <w:rPr>
                <w:b/>
                <w:bCs/>
                <w:i w:val="false"/>
                <w:iCs w:val="false"/>
                <w:color w:val="000000"/>
              </w:rPr>
              <w:t xml:space="preserve">0,8984 ± 0,0057</w:t>
            </w:r>
          </w:p>
        </w:tc>
      </w:tr>
      <w:tr>
        <w:tc>
          <w:p>
            <w:r>
              <w:rPr>
                <w:b/>
                <w:bCs/>
                <w:i w:val="false"/>
                <w:iCs w:val="false"/>
                <w:color w:val="000000"/>
              </w:rPr>
              <w:t xml:space="preserve">İnce ayarlı FinBERT</w:t>
            </w:r>
          </w:p>
        </w:tc>
        <w:tc>
          <w:p>
            <w:r>
              <w:rPr>
                <w:b/>
                <w:bCs/>
                <w:i w:val="false"/>
                <w:iCs w:val="false"/>
                <w:color w:val="000000"/>
              </w:rPr>
              <w:t xml:space="preserve">0,8790 ± 0,0025</w:t>
            </w:r>
          </w:p>
        </w:tc>
        <w:tc>
          <w:p>
            <w:r>
              <w:rPr>
                <w:b/>
                <w:bCs/>
                <w:i w:val="false"/>
                <w:iCs w:val="false"/>
                <w:color w:val="000000"/>
              </w:rPr>
              <w:t xml:space="preserve">0,8480 ± 0,0028</w:t>
            </w:r>
          </w:p>
        </w:tc>
        <w:tc>
          <w:p>
            <w:r>
              <w:rPr>
                <w:b/>
                <w:bCs/>
                <w:i w:val="false"/>
                <w:iCs w:val="false"/>
                <w:color w:val="000000"/>
              </w:rPr>
              <w:t xml:space="preserve">0,8799 ± 0,0026</w:t>
            </w:r>
          </w:p>
        </w:tc>
      </w:tr>
      <w:tr>
        <w:tc>
          <w:p>
            <w:r>
              <w:rPr>
                <w:b/>
                <w:bCs/>
                <w:i w:val="false"/>
                <w:iCs w:val="false"/>
                <w:color w:val="000000"/>
              </w:rPr>
              <w:t xml:space="preserve">BERT-base-uncased</w:t>
            </w:r>
          </w:p>
        </w:tc>
        <w:tc>
          <w:p>
            <w:r>
              <w:rPr>
                <w:b/>
                <w:bCs/>
                <w:i w:val="false"/>
                <w:iCs w:val="false"/>
                <w:color w:val="000000"/>
              </w:rPr>
              <w:t xml:space="preserve">0,8736 ± 0,0021</w:t>
            </w:r>
          </w:p>
        </w:tc>
        <w:tc>
          <w:p>
            <w:r>
              <w:rPr>
                <w:b/>
                <w:bCs/>
                <w:i w:val="false"/>
                <w:iCs w:val="false"/>
                <w:color w:val="000000"/>
              </w:rPr>
              <w:t xml:space="preserve">0,8396 ± 0,0023</w:t>
            </w:r>
          </w:p>
        </w:tc>
        <w:tc>
          <w:p>
            <w:r>
              <w:rPr>
                <w:b/>
                <w:bCs/>
                <w:i w:val="false"/>
                <w:iCs w:val="false"/>
                <w:color w:val="000000"/>
              </w:rPr>
              <w:t xml:space="preserve">0,8743 ± 0,0017</w:t>
            </w:r>
          </w:p>
        </w:tc>
      </w:tr>
      <w:tr>
        <w:tc>
          <w:p>
            <w:r>
              <w:rPr>
                <w:b/>
                <w:bCs/>
                <w:i w:val="false"/>
                <w:iCs w:val="false"/>
                <w:color w:val="000000"/>
              </w:rPr>
              <w:t xml:space="preserve">DistilBERT-base-uncased</w:t>
            </w:r>
          </w:p>
        </w:tc>
        <w:tc>
          <w:p>
            <w:r>
              <w:rPr>
                <w:b/>
                <w:bCs/>
                <w:i w:val="false"/>
                <w:iCs w:val="false"/>
                <w:color w:val="000000"/>
              </w:rPr>
              <w:t xml:space="preserve">0,8601 ± 0,0028</w:t>
            </w:r>
          </w:p>
        </w:tc>
        <w:tc>
          <w:p>
            <w:r>
              <w:rPr>
                <w:b/>
                <w:bCs/>
                <w:i w:val="false"/>
                <w:iCs w:val="false"/>
                <w:color w:val="000000"/>
              </w:rPr>
              <w:t xml:space="preserve">0,8231 ± 0,0028</w:t>
            </w:r>
          </w:p>
        </w:tc>
        <w:tc>
          <w:p>
            <w:r>
              <w:rPr>
                <w:b/>
                <w:bCs/>
                <w:i w:val="false"/>
                <w:iCs w:val="false"/>
                <w:color w:val="000000"/>
              </w:rPr>
              <w:t xml:space="preserve">0,8610 ± 0,0029</w:t>
            </w:r>
          </w:p>
        </w:tc>
      </w:tr>
    </w:tbl>
    <w:p>
      <w:r>
        <w:rPr>
          <w:b/>
          <w:bCs/>
          <w:i w:val="false"/>
          <w:iCs w:val="false"/>
          <w:color w:val="000000"/>
        </w:rPr>
        <w:t xml:space="preserve">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r>
        <w:rPr>
          <w:b/>
          <w:bCs/>
          <w:i w:val="false"/>
          <w:iCs w:val="false"/>
          <w:color w:val="000000"/>
        </w:rPr>
        <w:t xml:space="preserve">4.4. Dış test sonuçları</w:t>
      </w:r>
    </w:p>
    <w:p>
      <w:r>
        <w:rPr>
          <w:b/>
          <w:bCs/>
          <w:i w:val="false"/>
          <w:iCs w:val="false"/>
          <w:color w:val="000000"/>
        </w:rPr>
        <w:t xml:space="preserve">Model sıralaması dış test alanlarına göre belirgin biçimde değişmiştir.</w:t>
      </w:r>
    </w:p>
    <w:p>
      <w:r>
        <w:rPr>
          <w:b/>
          <w:bCs/>
          <w:i w:val="false"/>
          <w:iCs w:val="false"/>
          <w:color w:val="000000"/>
        </w:rPr>
        <w:t xml:space="preserve">Tablo 5. Model ve test alanı bazında Macro-F1 sonuçları.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i w:val="false"/>
                <w:iCs w:val="false"/>
                <w:color w:val="000000"/>
              </w:rPr>
              <w:t xml:space="preserve">Model</w:t>
            </w:r>
          </w:p>
        </w:tc>
        <w:tc>
          <w:p>
            <w:r>
              <w:rPr>
                <w:b/>
                <w:bCs/>
                <w:i w:val="false"/>
                <w:iCs w:val="false"/>
                <w:color w:val="000000"/>
              </w:rPr>
              <w:t xml:space="preserve">İç test</w:t>
            </w:r>
          </w:p>
        </w:tc>
        <w:tc>
          <w:p>
            <w:r>
              <w:rPr>
                <w:b/>
                <w:bCs/>
                <w:i w:val="false"/>
                <w:iCs w:val="false"/>
                <w:color w:val="000000"/>
              </w:rPr>
              <w:t xml:space="preserve">S&amp;P 500</w:t>
            </w:r>
          </w:p>
        </w:tc>
        <w:tc>
          <w:p>
            <w:r>
              <w:rPr>
                <w:b/>
                <w:bCs/>
                <w:i w:val="false"/>
                <w:iCs w:val="false"/>
                <w:color w:val="000000"/>
              </w:rPr>
              <w:t xml:space="preserve">Sentetik</w:t>
            </w:r>
          </w:p>
        </w:tc>
        <w:tc>
          <w:p>
            <w:r>
              <w:rPr>
                <w:b/>
                <w:bCs/>
                <w:i w:val="false"/>
                <w:iCs w:val="false"/>
                <w:color w:val="000000"/>
              </w:rPr>
              <w:t xml:space="preserve">Reuters</w:t>
            </w:r>
          </w:p>
        </w:tc>
      </w:tr>
      <w:tr>
        <w:tc>
          <w:p>
            <w:r>
              <w:rPr>
                <w:b/>
                <w:bCs/>
                <w:i w:val="false"/>
                <w:iCs w:val="false"/>
                <w:color w:val="000000"/>
              </w:rPr>
              <w:t xml:space="preserve">Hazır FinBERT</w:t>
            </w:r>
          </w:p>
        </w:tc>
        <w:tc>
          <w:p>
            <w:r>
              <w:rPr>
                <w:b/>
                <w:bCs/>
                <w:i w:val="false"/>
                <w:iCs w:val="false"/>
                <w:color w:val="000000"/>
              </w:rPr>
              <w:t xml:space="preserve">0,6794</w:t>
            </w:r>
          </w:p>
        </w:tc>
        <w:tc>
          <w:p>
            <w:r>
              <w:rPr>
                <w:b/>
                <w:bCs/>
                <w:i w:val="false"/>
                <w:iCs w:val="false"/>
                <w:color w:val="000000"/>
              </w:rPr>
              <w:t xml:space="preserve">0,7521</w:t>
            </w:r>
          </w:p>
        </w:tc>
        <w:tc>
          <w:p>
            <w:r>
              <w:rPr>
                <w:b/>
                <w:bCs/>
                <w:i w:val="false"/>
                <w:iCs w:val="false"/>
                <w:color w:val="000000"/>
              </w:rPr>
              <w:t xml:space="preserve">0,9551</w:t>
            </w:r>
          </w:p>
        </w:tc>
        <w:tc>
          <w:p>
            <w:r>
              <w:rPr>
                <w:b/>
                <w:bCs/>
                <w:i w:val="false"/>
                <w:iCs w:val="false"/>
                <w:color w:val="000000"/>
              </w:rPr>
              <w:t xml:space="preserve">0,6866</w:t>
            </w:r>
          </w:p>
        </w:tc>
      </w:tr>
      <w:tr>
        <w:tc>
          <w:p>
            <w:r>
              <w:rPr>
                <w:b/>
                <w:bCs/>
                <w:i w:val="false"/>
                <w:iCs w:val="false"/>
                <w:color w:val="000000"/>
              </w:rPr>
              <w:t xml:space="preserve">DistilBERT</w:t>
            </w:r>
          </w:p>
        </w:tc>
        <w:tc>
          <w:p>
            <w:r>
              <w:rPr>
                <w:b/>
                <w:bCs/>
                <w:i w:val="false"/>
                <w:iCs w:val="false"/>
                <w:color w:val="000000"/>
              </w:rPr>
              <w:t xml:space="preserve">0,8218</w:t>
            </w:r>
          </w:p>
        </w:tc>
        <w:tc>
          <w:p>
            <w:r>
              <w:rPr>
                <w:b/>
                <w:bCs/>
                <w:i w:val="false"/>
                <w:iCs w:val="false"/>
                <w:color w:val="000000"/>
              </w:rPr>
              <w:t xml:space="preserve">0,7510</w:t>
            </w:r>
          </w:p>
        </w:tc>
        <w:tc>
          <w:p>
            <w:r>
              <w:rPr>
                <w:b/>
                <w:bCs/>
                <w:i w:val="false"/>
                <w:iCs w:val="false"/>
                <w:color w:val="000000"/>
              </w:rPr>
              <w:t xml:space="preserve">0,9581</w:t>
            </w:r>
          </w:p>
        </w:tc>
        <w:tc>
          <w:p>
            <w:r>
              <w:rPr>
                <w:b/>
                <w:bCs/>
                <w:i w:val="false"/>
                <w:iCs w:val="false"/>
                <w:color w:val="000000"/>
              </w:rPr>
              <w:t xml:space="preserve">0,5869</w:t>
            </w:r>
          </w:p>
        </w:tc>
      </w:tr>
      <w:tr>
        <w:tc>
          <w:p>
            <w:r>
              <w:rPr>
                <w:b/>
                <w:bCs/>
                <w:i w:val="false"/>
                <w:iCs w:val="false"/>
                <w:color w:val="000000"/>
              </w:rPr>
              <w:t xml:space="preserve">BERT</w:t>
            </w:r>
          </w:p>
        </w:tc>
        <w:tc>
          <w:p>
            <w:r>
              <w:rPr>
                <w:b/>
                <w:bCs/>
                <w:i w:val="false"/>
                <w:iCs w:val="false"/>
                <w:color w:val="000000"/>
              </w:rPr>
              <w:t xml:space="preserve">0,8378</w:t>
            </w:r>
          </w:p>
        </w:tc>
        <w:tc>
          <w:p>
            <w:r>
              <w:rPr>
                <w:b/>
                <w:bCs/>
                <w:i w:val="false"/>
                <w:iCs w:val="false"/>
                <w:color w:val="000000"/>
              </w:rPr>
              <w:t xml:space="preserve">0,7549</w:t>
            </w:r>
          </w:p>
        </w:tc>
        <w:tc>
          <w:p>
            <w:r>
              <w:rPr>
                <w:b/>
                <w:bCs/>
                <w:i w:val="false"/>
                <w:iCs w:val="false"/>
                <w:color w:val="000000"/>
              </w:rPr>
              <w:t xml:space="preserve">0,9742</w:t>
            </w:r>
          </w:p>
        </w:tc>
        <w:tc>
          <w:p>
            <w:r>
              <w:rPr>
                <w:b/>
                <w:bCs/>
                <w:i w:val="false"/>
                <w:iCs w:val="false"/>
                <w:color w:val="000000"/>
              </w:rPr>
              <w:t xml:space="preserve">0,6131</w:t>
            </w:r>
          </w:p>
        </w:tc>
      </w:tr>
      <w:tr>
        <w:tc>
          <w:p>
            <w:r>
              <w:rPr>
                <w:b/>
                <w:bCs/>
                <w:i w:val="false"/>
                <w:iCs w:val="false"/>
                <w:color w:val="000000"/>
              </w:rPr>
              <w:t xml:space="preserve">RoBERTa</w:t>
            </w:r>
          </w:p>
        </w:tc>
        <w:tc>
          <w:p>
            <w:r>
              <w:rPr>
                <w:b/>
                <w:bCs/>
                <w:i w:val="false"/>
                <w:iCs w:val="false"/>
                <w:color w:val="000000"/>
              </w:rPr>
              <w:t xml:space="preserve">0,8651</w:t>
            </w:r>
          </w:p>
        </w:tc>
        <w:tc>
          <w:p>
            <w:r>
              <w:rPr>
                <w:b/>
                <w:bCs/>
                <w:i w:val="false"/>
                <w:iCs w:val="false"/>
                <w:color w:val="000000"/>
              </w:rPr>
              <w:t xml:space="preserve">0,8145</w:t>
            </w:r>
          </w:p>
        </w:tc>
        <w:tc>
          <w:p>
            <w:r>
              <w:rPr>
                <w:b/>
                <w:bCs/>
                <w:i w:val="false"/>
                <w:iCs w:val="false"/>
                <w:color w:val="000000"/>
              </w:rPr>
              <w:t xml:space="preserve">0,9957</w:t>
            </w:r>
          </w:p>
        </w:tc>
        <w:tc>
          <w:p>
            <w:r>
              <w:rPr>
                <w:b/>
                <w:bCs/>
                <w:i w:val="false"/>
                <w:iCs w:val="false"/>
                <w:color w:val="000000"/>
              </w:rPr>
              <w:t xml:space="preserve">0,6388</w:t>
            </w:r>
          </w:p>
        </w:tc>
      </w:tr>
      <w:tr>
        <w:tc>
          <w:p>
            <w:r>
              <w:rPr>
                <w:b/>
                <w:bCs/>
                <w:i w:val="false"/>
                <w:iCs w:val="false"/>
                <w:color w:val="000000"/>
              </w:rPr>
              <w:t xml:space="preserve">İnce ayarlı FinBERT</w:t>
            </w:r>
          </w:p>
        </w:tc>
        <w:tc>
          <w:p>
            <w:r>
              <w:rPr>
                <w:b/>
                <w:bCs/>
                <w:i w:val="false"/>
                <w:iCs w:val="false"/>
                <w:color w:val="000000"/>
              </w:rPr>
              <w:t xml:space="preserve">0,8512</w:t>
            </w:r>
          </w:p>
        </w:tc>
        <w:tc>
          <w:p>
            <w:r>
              <w:rPr>
                <w:b/>
                <w:bCs/>
                <w:i w:val="false"/>
                <w:iCs w:val="false"/>
                <w:color w:val="000000"/>
              </w:rPr>
              <w:t xml:space="preserve">0,7723</w:t>
            </w:r>
          </w:p>
        </w:tc>
        <w:tc>
          <w:p>
            <w:r>
              <w:rPr>
                <w:b/>
                <w:bCs/>
                <w:i w:val="false"/>
                <w:iCs w:val="false"/>
                <w:color w:val="000000"/>
              </w:rPr>
              <w:t xml:space="preserve">0,9746</w:t>
            </w:r>
          </w:p>
        </w:tc>
        <w:tc>
          <w:p>
            <w:r>
              <w:rPr>
                <w:b/>
                <w:bCs/>
                <w:i w:val="false"/>
                <w:iCs w:val="false"/>
                <w:color w:val="000000"/>
              </w:rPr>
              <w:t xml:space="preserve">0,6101</w:t>
            </w:r>
          </w:p>
        </w:tc>
      </w:tr>
    </w:tbl>
    <w:p>
      <w:r>
        <w:rPr>
          <w:b/>
          <w:bCs/>
          <w:i w:val="false"/>
          <w:iCs w:val="false"/>
          <w:color w:val="000000"/>
        </w:rPr>
        <w:t xml:space="preserve">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r>
        <w:rPr>
          <w:b/>
          <w:bCs/>
          <w:i w:val="false"/>
          <w:iCs w:val="false"/>
          <w:color w:val="000000"/>
        </w:rPr>
        <w:t xml:space="preserve">Reuters sonucunun yorumunda veri kontaminasyonu olasılığı. 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r>
        <w:rPr>
          <w:b/>
          <w:bCs/>
          <w:i w:val="false"/>
          <w:iCs w:val="false"/>
          <w:color w:val="000000"/>
        </w:rPr>
        <w:t xml:space="preserve">4.5. Sıfır örnekli modeller</w:t>
      </w:r>
    </w:p>
    <w:p>
      <w:r>
        <w:rPr>
          <w:b/>
          <w:bCs/>
          <w:i w:val="false"/>
          <w:iCs w:val="false"/>
          <w:color w:val="000000"/>
        </w:rPr>
        <w:t xml:space="preserve">S&amp;P 500 üzerinde en iyi sıfır örnekli sonuç BART-large-MNLI tarafından 0,6594 doğruluk ve 0,5580 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başlangıç maliyetli tamamlayıcı bir referanstır.</w:t>
      </w:r>
    </w:p>
    <w:p>
      <w:r>
        <w:rPr>
          <w:b/>
          <w:bCs/>
          <w:i w:val="false"/>
          <w:iCs w:val="false"/>
          <w:color w:val="000000"/>
        </w:rPr>
        <w:t xml:space="preserve">4.6. Sınıf bazlı hata örüntüleri</w:t>
      </w:r>
    </w:p>
    <w:p>
      <w:r>
        <w:rPr>
          <w:b/>
          <w:bCs/>
          <w:i w:val="false"/>
          <w:iCs w:val="false"/>
          <w:color w:val="000000"/>
        </w:rPr>
        <w:t xml:space="preserve">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r>
        <w:rPr>
          <w:b/>
          <w:bCs/>
          <w:i w:val="false"/>
          <w:iCs w:val="false"/>
          <w:color w:val="000000"/>
        </w:rPr>
        <w:t xml:space="preserve">4.7. Kaynak-bileşimi ablasyonu</w:t>
      </w:r>
    </w:p>
    <w:p>
      <w:r>
        <w:rPr>
          <w:b/>
          <w:bCs/>
          <w:i w:val="false"/>
          <w:iCs w:val="false"/>
          <w:color w:val="000000"/>
        </w:rPr>
        <w:t xml:space="preserve">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r>
        <w:rPr>
          <w:b/>
          <w:bCs/>
          <w:i w:val="false"/>
          <w:iCs w:val="false"/>
          <w:color w:val="000000"/>
        </w:rPr>
        <w:t xml:space="preserve">Tablo 6. RoBERTa kaynak-bileşimi ablasyon sonuçları (tohum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i w:val="false"/>
                <w:iCs w:val="false"/>
                <w:color w:val="000000"/>
              </w:rPr>
              <w:t xml:space="preserve">Veri seti</w:t>
            </w:r>
          </w:p>
        </w:tc>
        <w:tc>
          <w:p>
            <w:r>
              <w:rPr>
                <w:b/>
                <w:bCs/>
                <w:i w:val="false"/>
                <w:iCs w:val="false"/>
                <w:color w:val="000000"/>
              </w:rPr>
              <w:t xml:space="preserve">Yalnız Twitter</w:t>
            </w:r>
          </w:p>
        </w:tc>
        <w:tc>
          <w:p>
            <w:r>
              <w:rPr>
                <w:b/>
                <w:bCs/>
                <w:i w:val="false"/>
                <w:iCs w:val="false"/>
                <w:color w:val="000000"/>
              </w:rPr>
              <w:t xml:space="preserve">Twitter + PhraseBank</w:t>
            </w:r>
          </w:p>
        </w:tc>
        <w:tc>
          <w:p>
            <w:r>
              <w:rPr>
                <w:b/>
                <w:bCs/>
                <w:i w:val="false"/>
                <w:iCs w:val="false"/>
                <w:color w:val="000000"/>
              </w:rPr>
              <w:t xml:space="preserve">Fark</w:t>
            </w:r>
          </w:p>
        </w:tc>
      </w:tr>
      <w:tr>
        <w:tc>
          <w:p>
            <w:r>
              <w:rPr>
                <w:b/>
                <w:bCs/>
                <w:i w:val="false"/>
                <w:iCs w:val="false"/>
                <w:color w:val="000000"/>
              </w:rPr>
              <w:t xml:space="preserve">İç test (N=2.386)</w:t>
            </w:r>
          </w:p>
        </w:tc>
        <w:tc>
          <w:p>
            <w:r>
              <w:rPr>
                <w:b/>
                <w:bCs/>
                <w:i w:val="false"/>
                <w:iCs w:val="false"/>
                <w:color w:val="000000"/>
              </w:rPr>
              <w:t xml:space="preserve">0,8810</w:t>
            </w:r>
          </w:p>
        </w:tc>
        <w:tc>
          <w:p>
            <w:r>
              <w:rPr>
                <w:b/>
                <w:bCs/>
                <w:i w:val="false"/>
                <w:iCs w:val="false"/>
                <w:color w:val="000000"/>
              </w:rPr>
              <w:t xml:space="preserve">0,8679</w:t>
            </w:r>
          </w:p>
        </w:tc>
        <w:tc>
          <w:p>
            <w:r>
              <w:rPr>
                <w:b/>
                <w:bCs/>
                <w:i w:val="false"/>
                <w:iCs w:val="false"/>
                <w:color w:val="000000"/>
              </w:rPr>
              <w:t xml:space="preserve">-0,0132</w:t>
            </w:r>
          </w:p>
        </w:tc>
      </w:tr>
      <w:tr>
        <w:tc>
          <w:p>
            <w:r>
              <w:rPr>
                <w:b/>
                <w:bCs/>
                <w:i w:val="false"/>
                <w:iCs w:val="false"/>
                <w:color w:val="000000"/>
              </w:rPr>
              <w:t xml:space="preserve">Reuters (N=5.000)</w:t>
            </w:r>
          </w:p>
        </w:tc>
        <w:tc>
          <w:p>
            <w:r>
              <w:rPr>
                <w:b/>
                <w:bCs/>
                <w:i w:val="false"/>
                <w:iCs w:val="false"/>
                <w:color w:val="000000"/>
              </w:rPr>
              <w:t xml:space="preserve">0,6465</w:t>
            </w:r>
          </w:p>
        </w:tc>
        <w:tc>
          <w:p>
            <w:r>
              <w:rPr>
                <w:b/>
                <w:bCs/>
                <w:i w:val="false"/>
                <w:iCs w:val="false"/>
                <w:color w:val="000000"/>
              </w:rPr>
              <w:t xml:space="preserve">0,6305</w:t>
            </w:r>
          </w:p>
        </w:tc>
        <w:tc>
          <w:p>
            <w:r>
              <w:rPr>
                <w:b/>
                <w:bCs/>
                <w:i w:val="false"/>
                <w:iCs w:val="false"/>
                <w:color w:val="000000"/>
              </w:rPr>
              <w:t xml:space="preserve">-0,0160</w:t>
            </w:r>
          </w:p>
        </w:tc>
      </w:tr>
      <w:tr>
        <w:tc>
          <w:p>
            <w:r>
              <w:rPr>
                <w:b/>
                <w:bCs/>
                <w:i w:val="false"/>
                <w:iCs w:val="false"/>
                <w:color w:val="000000"/>
              </w:rPr>
              <w:t xml:space="preserve">S&amp;P 500 ablasyon (N=1.030)</w:t>
            </w:r>
          </w:p>
        </w:tc>
        <w:tc>
          <w:p>
            <w:r>
              <w:rPr>
                <w:b/>
                <w:bCs/>
                <w:i w:val="false"/>
                <w:iCs w:val="false"/>
                <w:color w:val="000000"/>
              </w:rPr>
              <w:t xml:space="preserve">0,7989</w:t>
            </w:r>
          </w:p>
        </w:tc>
        <w:tc>
          <w:p>
            <w:r>
              <w:rPr>
                <w:b/>
                <w:bCs/>
                <w:i w:val="false"/>
                <w:iCs w:val="false"/>
                <w:color w:val="000000"/>
              </w:rPr>
              <w:t xml:space="preserve">0,7968</w:t>
            </w:r>
          </w:p>
        </w:tc>
        <w:tc>
          <w:p>
            <w:r>
              <w:rPr>
                <w:b/>
                <w:bCs/>
                <w:i w:val="false"/>
                <w:iCs w:val="false"/>
                <w:color w:val="000000"/>
              </w:rPr>
              <w:t xml:space="preserve">-0,0021</w:t>
            </w:r>
          </w:p>
        </w:tc>
      </w:tr>
    </w:tbl>
    <w:p>
      <w:r>
        <w:rPr>
          <w:b/>
          <w:bCs/>
          <w:i w:val="false"/>
          <w:iCs w:val="false"/>
          <w:color w:val="000000"/>
        </w:rPr>
        <w:t xml:space="preserve">4.8. Model verimliliği</w:t>
      </w:r>
    </w:p>
    <w:p>
      <w:r>
        <w:rPr>
          <w:b/>
          <w:bCs/>
          <w:i w:val="false"/>
          <w:iCs w:val="false"/>
          <w:color w:val="000000"/>
        </w:rPr>
        <w:t xml:space="preserve">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w:t>
      </w:r>
    </w:p>
    <w:p>
      <w:r>
        <w:rPr>
          <w:b/>
          <w:bCs/>
          <w:i w:val="false"/>
          <w:iCs w:val="false"/>
          <w:color w:val="000000"/>
        </w:rPr>
        <w:t xml:space="preserve">Tablo 7. CPU çıkarım verimliliği ve iç test performansı.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i w:val="false"/>
                <w:iCs w:val="false"/>
                <w:color w:val="000000"/>
              </w:rPr>
              <w:t xml:space="preserve">Model</w:t>
            </w:r>
          </w:p>
        </w:tc>
        <w:tc>
          <w:p>
            <w:r>
              <w:rPr>
                <w:b/>
                <w:bCs/>
                <w:i w:val="false"/>
                <w:iCs w:val="false"/>
                <w:color w:val="000000"/>
              </w:rPr>
              <w:t xml:space="preserve">Parametre (M)</w:t>
            </w:r>
          </w:p>
        </w:tc>
        <w:tc>
          <w:p>
            <w:r>
              <w:rPr>
                <w:b/>
                <w:bCs/>
                <w:i w:val="false"/>
                <w:iCs w:val="false"/>
                <w:color w:val="000000"/>
              </w:rPr>
              <w:t xml:space="preserve">CPU örnek/s</w:t>
            </w:r>
          </w:p>
        </w:tc>
        <w:tc>
          <w:p>
            <w:r>
              <w:rPr>
                <w:b/>
                <w:bCs/>
                <w:i w:val="false"/>
                <w:iCs w:val="false"/>
                <w:color w:val="000000"/>
              </w:rPr>
              <w:t xml:space="preserve">Gecikme (ms/örnek)</w:t>
            </w:r>
          </w:p>
        </w:tc>
        <w:tc>
          <w:p>
            <w:r>
              <w:rPr>
                <w:b/>
                <w:bCs/>
                <w:i w:val="false"/>
                <w:iCs w:val="false"/>
                <w:color w:val="000000"/>
              </w:rPr>
              <w:t xml:space="preserve">İç test Macro-F1</w:t>
            </w:r>
          </w:p>
        </w:tc>
      </w:tr>
      <w:tr>
        <w:tc>
          <w:p>
            <w:r>
              <w:rPr>
                <w:b/>
                <w:bCs/>
                <w:i w:val="false"/>
                <w:iCs w:val="false"/>
                <w:color w:val="000000"/>
              </w:rPr>
              <w:t xml:space="preserve">Hazır FinBERT</w:t>
            </w:r>
          </w:p>
        </w:tc>
        <w:tc>
          <w:p>
            <w:r>
              <w:rPr>
                <w:b/>
                <w:bCs/>
                <w:i w:val="false"/>
                <w:iCs w:val="false"/>
                <w:color w:val="000000"/>
              </w:rPr>
              <w:t xml:space="preserve">109,48</w:t>
            </w:r>
          </w:p>
        </w:tc>
        <w:tc>
          <w:p>
            <w:r>
              <w:rPr>
                <w:b/>
                <w:bCs/>
                <w:i w:val="false"/>
                <w:iCs w:val="false"/>
                <w:color w:val="000000"/>
              </w:rPr>
              <w:t xml:space="preserve">30,81</w:t>
            </w:r>
          </w:p>
        </w:tc>
        <w:tc>
          <w:p>
            <w:r>
              <w:rPr>
                <w:b/>
                <w:bCs/>
                <w:i w:val="false"/>
                <w:iCs w:val="false"/>
                <w:color w:val="000000"/>
              </w:rPr>
              <w:t xml:space="preserve">32,46</w:t>
            </w:r>
          </w:p>
        </w:tc>
        <w:tc>
          <w:p>
            <w:r>
              <w:rPr>
                <w:b/>
                <w:bCs/>
                <w:i w:val="false"/>
                <w:iCs w:val="false"/>
                <w:color w:val="000000"/>
              </w:rPr>
              <w:t xml:space="preserve">0,6794</w:t>
            </w:r>
          </w:p>
        </w:tc>
      </w:tr>
      <w:tr>
        <w:tc>
          <w:p>
            <w:r>
              <w:rPr>
                <w:b/>
                <w:bCs/>
                <w:i w:val="false"/>
                <w:iCs w:val="false"/>
                <w:color w:val="000000"/>
              </w:rPr>
              <w:t xml:space="preserve">İnce ayarlı FinBERT</w:t>
            </w:r>
          </w:p>
        </w:tc>
        <w:tc>
          <w:p>
            <w:r>
              <w:rPr>
                <w:b/>
                <w:bCs/>
                <w:i w:val="false"/>
                <w:iCs w:val="false"/>
                <w:color w:val="000000"/>
              </w:rPr>
              <w:t xml:space="preserve">109,48</w:t>
            </w:r>
          </w:p>
        </w:tc>
        <w:tc>
          <w:p>
            <w:r>
              <w:rPr>
                <w:b/>
                <w:bCs/>
                <w:i w:val="false"/>
                <w:iCs w:val="false"/>
                <w:color w:val="000000"/>
              </w:rPr>
              <w:t xml:space="preserve">28,84</w:t>
            </w:r>
          </w:p>
        </w:tc>
        <w:tc>
          <w:p>
            <w:r>
              <w:rPr>
                <w:b/>
                <w:bCs/>
                <w:i w:val="false"/>
                <w:iCs w:val="false"/>
                <w:color w:val="000000"/>
              </w:rPr>
              <w:t xml:space="preserve">34,68</w:t>
            </w:r>
          </w:p>
        </w:tc>
        <w:tc>
          <w:p>
            <w:r>
              <w:rPr>
                <w:b/>
                <w:bCs/>
                <w:i w:val="false"/>
                <w:iCs w:val="false"/>
                <w:color w:val="000000"/>
              </w:rPr>
              <w:t xml:space="preserve">0,8512</w:t>
            </w:r>
          </w:p>
        </w:tc>
      </w:tr>
      <w:tr>
        <w:tc>
          <w:p>
            <w:r>
              <w:rPr>
                <w:b/>
                <w:bCs/>
                <w:i w:val="false"/>
                <w:iCs w:val="false"/>
                <w:color w:val="000000"/>
              </w:rPr>
              <w:t xml:space="preserve">BERT</w:t>
            </w:r>
          </w:p>
        </w:tc>
        <w:tc>
          <w:p>
            <w:r>
              <w:rPr>
                <w:b/>
                <w:bCs/>
                <w:i w:val="false"/>
                <w:iCs w:val="false"/>
                <w:color w:val="000000"/>
              </w:rPr>
              <w:t xml:space="preserve">109,48</w:t>
            </w:r>
          </w:p>
        </w:tc>
        <w:tc>
          <w:p>
            <w:r>
              <w:rPr>
                <w:b/>
                <w:bCs/>
                <w:i w:val="false"/>
                <w:iCs w:val="false"/>
                <w:color w:val="000000"/>
              </w:rPr>
              <w:t xml:space="preserve">31,37</w:t>
            </w:r>
          </w:p>
        </w:tc>
        <w:tc>
          <w:p>
            <w:r>
              <w:rPr>
                <w:b/>
                <w:bCs/>
                <w:i w:val="false"/>
                <w:iCs w:val="false"/>
                <w:color w:val="000000"/>
              </w:rPr>
              <w:t xml:space="preserve">31,88</w:t>
            </w:r>
          </w:p>
        </w:tc>
        <w:tc>
          <w:p>
            <w:r>
              <w:rPr>
                <w:b/>
                <w:bCs/>
                <w:i w:val="false"/>
                <w:iCs w:val="false"/>
                <w:color w:val="000000"/>
              </w:rPr>
              <w:t xml:space="preserve">0,8378</w:t>
            </w:r>
          </w:p>
        </w:tc>
      </w:tr>
      <w:tr>
        <w:tc>
          <w:p>
            <w:r>
              <w:rPr>
                <w:b/>
                <w:bCs/>
                <w:i w:val="false"/>
                <w:iCs w:val="false"/>
                <w:color w:val="000000"/>
              </w:rPr>
              <w:t xml:space="preserve">DistilBERT</w:t>
            </w:r>
          </w:p>
        </w:tc>
        <w:tc>
          <w:p>
            <w:r>
              <w:rPr>
                <w:b/>
                <w:bCs/>
                <w:i w:val="false"/>
                <w:iCs w:val="false"/>
                <w:color w:val="000000"/>
              </w:rPr>
              <w:t xml:space="preserve">66,96</w:t>
            </w:r>
          </w:p>
        </w:tc>
        <w:tc>
          <w:p>
            <w:r>
              <w:rPr>
                <w:b/>
                <w:bCs/>
                <w:i w:val="false"/>
                <w:iCs w:val="false"/>
                <w:color w:val="000000"/>
              </w:rPr>
              <w:t xml:space="preserve">70,30</w:t>
            </w:r>
          </w:p>
        </w:tc>
        <w:tc>
          <w:p>
            <w:r>
              <w:rPr>
                <w:b/>
                <w:bCs/>
                <w:i w:val="false"/>
                <w:iCs w:val="false"/>
                <w:color w:val="000000"/>
              </w:rPr>
              <w:t xml:space="preserve">14,23</w:t>
            </w:r>
          </w:p>
        </w:tc>
        <w:tc>
          <w:p>
            <w:r>
              <w:rPr>
                <w:b/>
                <w:bCs/>
                <w:i w:val="false"/>
                <w:iCs w:val="false"/>
                <w:color w:val="000000"/>
              </w:rPr>
              <w:t xml:space="preserve">0,8218</w:t>
            </w:r>
          </w:p>
        </w:tc>
      </w:tr>
      <w:tr>
        <w:tc>
          <w:p>
            <w:r>
              <w:rPr>
                <w:b/>
                <w:bCs/>
                <w:i w:val="false"/>
                <w:iCs w:val="false"/>
                <w:color w:val="000000"/>
              </w:rPr>
              <w:t xml:space="preserve">RoBERTa</w:t>
            </w:r>
          </w:p>
        </w:tc>
        <w:tc>
          <w:p>
            <w:r>
              <w:rPr>
                <w:b/>
                <w:bCs/>
                <w:i w:val="false"/>
                <w:iCs w:val="false"/>
                <w:color w:val="000000"/>
              </w:rPr>
              <w:t xml:space="preserve">124,65</w:t>
            </w:r>
          </w:p>
        </w:tc>
        <w:tc>
          <w:p>
            <w:r>
              <w:rPr>
                <w:b/>
                <w:bCs/>
                <w:i w:val="false"/>
                <w:iCs w:val="false"/>
                <w:color w:val="000000"/>
              </w:rPr>
              <w:t xml:space="preserve">35,91</w:t>
            </w:r>
          </w:p>
        </w:tc>
        <w:tc>
          <w:p>
            <w:r>
              <w:rPr>
                <w:b/>
                <w:bCs/>
                <w:i w:val="false"/>
                <w:iCs w:val="false"/>
                <w:color w:val="000000"/>
              </w:rPr>
              <w:t xml:space="preserve">27,85</w:t>
            </w:r>
          </w:p>
        </w:tc>
        <w:tc>
          <w:p>
            <w:r>
              <w:rPr>
                <w:b/>
                <w:bCs/>
                <w:i w:val="false"/>
                <w:iCs w:val="false"/>
                <w:color w:val="000000"/>
              </w:rPr>
              <w:t xml:space="preserve">0,8651</w:t>
            </w:r>
          </w:p>
        </w:tc>
      </w:tr>
    </w:tbl>
    <w:p>
      <w:r>
        <w:rPr>
          <w:b/>
          <w:bCs/>
          <w:i w:val="false"/>
          <w:iCs w:val="false"/>
          <w:color w:val="000000"/>
        </w:rPr>
        <w:t xml:space="preserve">5. Tartışma</w:t>
      </w:r>
    </w:p>
    <w:p>
      <w:r>
        <w:rPr>
          <w:b/>
          <w:bCs/>
          <w:i w:val="false"/>
          <w:iCs w:val="false"/>
          <w:color w:val="000000"/>
        </w:rPr>
        <w:t xml:space="preserve">5.1. Hedefe özgü ince ayarın etkisi</w:t>
      </w:r>
    </w:p>
    <w:p>
      <w:r>
        <w:rPr>
          <w:b/>
          <w:bCs/>
          <w:i w:val="false"/>
          <w:iCs w:val="false"/>
          <w:color w:val="000000"/>
        </w:rPr>
        <w:t xml:space="preserve">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r>
        <w:rPr>
          <w:b/>
          <w:bCs/>
          <w:i w:val="false"/>
          <w:iCs w:val="false"/>
          <w:color w:val="000000"/>
        </w:rPr>
        <w:t xml:space="preserve">5.2. Genelleme ve alan kayması</w:t>
      </w:r>
    </w:p>
    <w:p>
      <w:r>
        <w:rPr>
          <w:b/>
          <w:bCs/>
          <w:i w:val="false"/>
          <w:iCs w:val="false"/>
          <w:color w:val="000000"/>
        </w:rPr>
        <w:t xml:space="preserve">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çalışmalarla uyumludur </w:t>
      </w:r>
      <w:sdt>
        <w:sdtPr>
          <w:tag w:val="CITATION GuoY23"/>
          <w:id w:val="1640423942"/>
          <w:citation/>
        </w:sdtPr>
        <w:sdtContent>
          <w:r>
            <w:fldChar w:fldCharType="begin"/>
          </w:r>
          <w:r>
            <w:instrText xml:space="preserve"> CITATION GuoY23 \l 1033 </w:instrText>
          </w:r>
          <w:r>
            <w:fldChar w:fldCharType="separate"/>
          </w:r>
          <w:r>
            <w:rPr>
              <w:noProof/>
            </w:rPr>
            <w:t xml:space="preserve">(Guo et al., 2023)</w:t>
          </w:r>
          <w:r>
            <w:fldChar w:fldCharType="end"/>
          </w:r>
        </w:sdtContent>
      </w:sdt>
      <w:r>
        <w:rPr>
          <w:b/>
          <w:bCs/>
          <w:i w:val="false"/>
          <w:iCs w:val="false"/>
          <w:color w:val="000000"/>
        </w:rPr>
        <w:t xml:space="preserve">.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 (§4.4).</w:t>
      </w:r>
    </w:p>
    <w:p>
      <w:r>
        <w:rPr>
          <w:b/>
          <w:bCs/>
          <w:i w:val="false"/>
          <w:iCs w:val="false"/>
          <w:color w:val="000000"/>
        </w:rPr>
        <w:t xml:space="preserve">5.3. Tarafsız sınıf ve etiket semantiği</w:t>
      </w:r>
    </w:p>
    <w:p>
      <w:r>
        <w:rPr>
          <w:b/>
          <w:bCs/>
          <w:i w:val="false"/>
          <w:iCs w:val="false"/>
          <w:color w:val="000000"/>
        </w:rPr>
        <w:t xml:space="preserve">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w:t>
      </w:r>
      <w:sdt>
        <w:sdtPr>
          <w:tag w:val="CITATION LoughranT11"/>
          <w:id w:val="1067209102"/>
          <w:citation/>
        </w:sdtPr>
        <w:sdtContent>
          <w:r>
            <w:fldChar w:fldCharType="begin"/>
          </w:r>
          <w:r>
            <w:instrText xml:space="preserve"> CITATION LoughranT11 \l 1033 </w:instrText>
          </w:r>
          <w:r>
            <w:fldChar w:fldCharType="separate"/>
          </w:r>
          <w:r>
            <w:rPr>
              <w:noProof/>
            </w:rPr>
            <w:t xml:space="preserve">(Loughran &amp; McDonald, 2011)</w:t>
          </w:r>
          <w:r>
            <w:fldChar w:fldCharType="end"/>
          </w:r>
        </w:sdtContent>
      </w:sdt>
      <w:r>
        <w:rPr>
          <w:b/>
          <w:bCs/>
          <w:i w:val="false"/>
          <w:iCs w:val="false"/>
          <w:color w:val="000000"/>
        </w:rPr>
        <w:t xml:space="preserve">, bu çalışmada sınıf etiketlerinin veri setleri arasındaki anlam farklılığına genişletilmiştir: Financial PhraseBank kurumsal haber cümlelerinin ekonomik etkisini merkeze alırken </w:t>
      </w:r>
      <w:sdt>
        <w:sdtPr>
          <w:tag w:val="CITATION MaloP13"/>
          <w:id w:val="1498976208"/>
          <w:citation/>
        </w:sdtPr>
        <w:sdtContent>
          <w:r>
            <w:fldChar w:fldCharType="begin"/>
          </w:r>
          <w:r>
            <w:instrText xml:space="preserve"> CITATION MaloP13 \l 1033 </w:instrText>
          </w:r>
          <w:r>
            <w:fldChar w:fldCharType="separate"/>
          </w:r>
          <w:r>
            <w:rPr>
              <w:noProof/>
            </w:rPr>
            <w:t xml:space="preserve">(Malo et al., 2013)</w:t>
          </w:r>
          <w:r>
            <w:fldChar w:fldCharType="end"/>
          </w:r>
        </w:sdtContent>
      </w:sdt>
      <w:r>
        <w:rPr>
          <w:b/>
          <w:bCs/>
          <w:i w:val="false"/>
          <w:iCs w:val="false"/>
          <w:color w:val="000000"/>
        </w:rPr>
        <w:t xml:space="preserve">, bu çalışmanın ana veri seti kısa ve piyasa yönelimli metinler içermektedir. §3.3’te belgelenen post-hoc rubrik, bu karar sınırlarının tarafsız sınıf etrafında yoğunlaştığını göstermektedir.</w:t>
      </w:r>
    </w:p>
    <w:p>
      <w:r>
        <w:rPr>
          <w:b/>
          <w:bCs/>
          <w:i w:val="false"/>
          <w:iCs w:val="false"/>
          <w:color w:val="000000"/>
        </w:rPr>
        <w:t xml:space="preserve">5.4. Sentetik verinin yorumu</w:t>
      </w:r>
    </w:p>
    <w:p>
      <w:r>
        <w:rPr>
          <w:b/>
          <w:bCs/>
          <w:i w:val="false"/>
          <w:iCs w:val="false"/>
          <w:color w:val="000000"/>
        </w:rPr>
        <w:t xml:space="preserve">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r>
        <w:rPr>
          <w:b/>
          <w:bCs/>
          <w:i w:val="false"/>
          <w:iCs w:val="false"/>
          <w:color w:val="000000"/>
        </w:rPr>
        <w:t xml:space="preserve">5.5. Araştırma sorularının yanıtlanması</w:t>
      </w:r>
    </w:p>
    <w:p>
      <w:r>
        <w:rPr>
          <w:b/>
          <w:bCs/>
          <w:i w:val="false"/>
          <w:iCs w:val="false"/>
          <w:color w:val="000000"/>
        </w:rPr>
        <w:t xml:space="preserve">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H1–H5 hipotezlerinin tamamı desteklenmiştir.</w:t>
      </w:r>
    </w:p>
    <w:p>
      <w:r>
        <w:rPr>
          <w:b/>
          <w:bCs/>
          <w:i w:val="false"/>
          <w:iCs w:val="false"/>
          <w:color w:val="000000"/>
        </w:rPr>
        <w:t xml:space="preserve">6. Sonuç</w:t>
      </w:r>
    </w:p>
    <w:p>
      <w:r>
        <w:rPr>
          <w:b/>
          <w:bCs/>
          <w:i w:val="false"/>
          <w:iCs w:val="false"/>
          <w:color w:val="000000"/>
        </w:rPr>
        <w:t xml:space="preserve">6.1. Genel sonuç</w:t>
      </w:r>
    </w:p>
    <w:p>
      <w:r>
        <w:rPr>
          <w:b/>
          <w:bCs/>
          <w:i w:val="false"/>
          <w:iCs w:val="false"/>
          <w:color w:val="000000"/>
        </w:rPr>
        <w:t xml:space="preserve">Bu çalışma, finansal duygu analizinde hazır alan-özel FinBERT, hedef veri setine ince ayarlı FinBERT ve hedef veri setine ince ayarlı BERT, DistilBERT ve RoBERTa modellerini karşılaştırmalı olarak incelemiştir. Ana sonuç, tek bir modelin tüm finansal metin türlerinde evrensel olarak en iyi kabul edilemeyeceğidir: RoBERTa iç testte ve S&amp;P 500'de güçlü iken, Reuters'ta hazır FinBERT yeniden birinci olmuş; ince ayarlı FinBERT'in Reuters düşüşü (0,8512 → 0,6101) hedefe uyarlamanın uzak kaynakta genelleme kaybı yaratabileceğini göstermiştir. Kaynak-ablasyonu daha fazla heterojen eğitim verisinin performansı otomatik artırmadığını ortaya koymuştur. Verimlilik açısından DistilBERT en yüksek CPU işlem hızına sahipken RoBERTa en güçlü performans profilini sunmuştur.</w:t>
      </w:r>
    </w:p>
    <w:p>
      <w:r>
        <w:rPr>
          <w:b/>
          <w:bCs/>
          <w:i w:val="false"/>
          <w:iCs w:val="false"/>
          <w:color w:val="000000"/>
        </w:rPr>
        <w:t xml:space="preserve">6.2. Uygulayıcılara öneriler</w:t>
      </w:r>
    </w:p>
    <w:p>
      <w:r>
        <w:rPr>
          <w:b/>
          <w:bCs/>
          <w:i w:val="false"/>
          <w:iCs w:val="false"/>
          <w:color w:val="000000"/>
        </w:rPr>
        <w:t xml:space="preserve">(i) Kısa piyasa başlıkları ve hedef veri setine benzeyen içeriklerde RoBERTa ince ayarı öncelikli adaydır; çoklu tohum ve eşleştirilmiş testler bu tercihi desteklemektedir. (ii) Profesyonel finans haberlerinde hazır FinBERT ayrı bir temel model olarak korunmalı; hedefe ince ayarlı sürümün performansının aynı kaynağa genelleneceği varsayılmamalıdır. Dış test ve örnek-bazlı eşleştirilmiş karşılaştırmalar model seçiminin parçası olmalıdır. (iii) Sınıf dengesizliği bulunan veri setlerinde doğruluk yerine makro F1 ve sınıf bazlı ölçütler raporlanmalıdır. (iv) Üretim öncesinde zaman, kaynak ve sektör bazlı dış testler uygulanmalı; performansla birlikte işlem hızı ve gecikme ölçülmelidir. (v) Tarafsız sınıf için açık etiketleme yönergeleri ve yüksek güvenli yanlışların manuel incelenmesi önerilir. (vi) Dış test etiketleri çoklu bağımsız etiketleyici ve Kappa tabanlı uyum ölçümüyle üretilmelidir.</w:t>
      </w:r>
    </w:p>
    <w:p>
      <w:r>
        <w:rPr>
          <w:b/>
          <w:bCs/>
          <w:i w:val="false"/>
          <w:iCs w:val="false"/>
          <w:color w:val="000000"/>
        </w:rPr>
        <w:t xml:space="preserve">6.3. Sınırlılıklar ve gelecek çalışmalar</w:t>
      </w:r>
    </w:p>
    <w:p>
      <w:r>
        <w:rPr>
          <w:b/>
          <w:bCs/>
          <w:i w:val="false"/>
          <w:iCs w:val="false"/>
          <w:color w:val="000000"/>
        </w:rPr>
        <w:t xml:space="preserve">Bu çalışmanın başlıca sınırlılıkları şunlardır:</w:t>
      </w:r>
    </w:p>
    <w:p>
      <w:r>
        <w:rPr>
          <w:b/>
          <w:bCs/>
          <w:i w:val="false"/>
          <w:iCs w:val="false"/>
          <w:color w:val="000000"/>
        </w:rPr>
        <w:t xml:space="preserve">(i) Etiketleme süreci ve etiketleyiciler arası uyum. S&amp;P 500 ve Reuters dış test etiketleri tek bir araştırmacı tarafından, bir büyük dil modelinin açıklama desteğiyle belirlenmiştir. Etiketleme sürecinde prospektif bir rubrik kullanılmamış; ölçütler çalışma sonrasında post-hoc olarak belgelenmiştir (§3.3). Etiketleyiciler arası uyum yüzde uyum, Cohen’s Kappa, Fleiss’ Kappa veya Krippendorff alpha gibi istatistiksel ölçütlerle değerlendirilmemiştir. Bu nedenle dış test sonuçları mutlak performans iddiası değil, modeller arası göreli karşılaştırma olarak yorumlanmalıdır.</w:t>
      </w:r>
    </w:p>
    <w:p>
      <w:r>
        <w:rPr>
          <w:b/>
          <w:bCs/>
          <w:i w:val="false"/>
          <w:iCs w:val="false"/>
          <w:color w:val="000000"/>
        </w:rPr>
        <w:t xml:space="preserve">(ii) Veri kontaminasyonu olasılığı. ProsusAI/finbert, Reuters TRC2 ve Financial PhraseBank ile eğitilmiştir. FPB test kümelerinden çıkarılmıştır; ancak Reuters dış testindeki üstünlüğün bir kısmı ön eğitim verisiyle örtüşmeden kaynaklanıyor olabilir ve bu olasılık deneysel olarak dışlanamamıştır.</w:t>
      </w:r>
    </w:p>
    <w:p>
      <w:r>
        <w:rPr>
          <w:b/>
          <w:bCs/>
          <w:i w:val="false"/>
          <w:iCs w:val="false"/>
          <w:color w:val="000000"/>
        </w:rPr>
        <w:t xml:space="preserve">(iii) Dış testlerde çoklu tohum eksikliği. İç testte üç rastgelelik tohumu kullanılmış; dış test değerlendirmeleri ise tek tohum ile yürütülmüştür. Dış testlerde tohum kaynaklı varyansın etkisi ölçülmemiştir.</w:t>
      </w:r>
    </w:p>
    <w:p>
      <w:r>
        <w:rPr>
          <w:b/>
          <w:bCs/>
          <w:i w:val="false"/>
          <w:iCs w:val="false"/>
          <w:color w:val="000000"/>
        </w:rPr>
        <w:t xml:space="preserve">(iv) Ablasyon kapsamı. Kaynak-bileşimi ablasyonu yalnızca RoBERTa ve tek tohum için yapılmıştır. FinBERT için Twitter-only kolu bulunmamaktadır; bu nedenle fine-tuning kazanımının yalnız hedef veriye bağlanması mümkün değildir.</w:t>
      </w:r>
    </w:p>
    <w:p>
      <w:r>
        <w:rPr>
          <w:b/>
          <w:bCs/>
          <w:i w:val="false"/>
          <w:iCs w:val="false"/>
          <w:color w:val="000000"/>
        </w:rPr>
        <w:t xml:space="preserve">(v) Sentetik veri. Sentetik set sınıf koşullu LLM üretimiyle oluşturulmuş, insan doğrulamasından geçirilmemiştir ve gerçek dağılımı temsil etmez. Bu nedenle yalnızca tanısal/stres testi amacıyla yorumlanmıştır.</w:t>
      </w:r>
    </w:p>
    <w:p>
      <w:r>
        <w:rPr>
          <w:b/>
          <w:bCs/>
          <w:i w:val="false"/>
          <w:iCs w:val="false"/>
          <w:color w:val="000000"/>
        </w:rPr>
        <w:t xml:space="preserve">(vi) Ana veri seti etiket kalitesi. Twitter Financial News veri kartı etiketleyici profili, uzmanlığı ve uzlaşı süreci hakkında bilgi vermemektedir. Bu durum ana veri setinin bilinen bir sınırlılığıdır.</w:t>
      </w:r>
    </w:p>
    <w:p>
      <w:r>
        <w:rPr>
          <w:b/>
          <w:bCs/>
          <w:i w:val="false"/>
          <w:iCs w:val="false"/>
          <w:color w:val="000000"/>
        </w:rPr>
        <w:t xml:space="preserve">Gelecek çalışmalar. (i) Dış testlerin birden fazla bağımsız insan etiketleyiciyle yeniden etiketlenmesi, yüzde uyum ve Cohen’s Kappa / Fleiss’ Kappa / Krippendorff alpha ölçümü; (ii) prospektif bir etiketleme rubriğinin etiketleme öncesinde hazırlanması ve pilot uygulamayla kalibre edilmesi; (iii) LLM-etiketli ve insan-etiketli setler arasındaki uyumun ayrı bir çalışmada karşılaştırılması; (iv) dış testlerde çoklu tohum ve eksiksiz eşleştirilmiş tahmin dosyalarıyla tekrarlı güvenilirlik analizleri; (v) kaynak-ablasyonunun birden fazla tohum ve model için tekrarlanması; (vi) kalibrasyon hataları ve güvenilirlik diyagramları; (vii) çok dilli ve özellikle Türkçe finansal haber veri setleri; (viii) CPU hızının yanında enerji tüketimi, bellek kullanımı ve toplam eğitim maliyetinin standart bir donanım protokolünde ölçülmesi; (ix) Reuters TRC2 ve FinGPT gibi ön eğitim kaynaklarıyla olası veri örtüşmesinin sistematik olarak denetlenmesi.</w:t>
      </w:r>
    </w:p>
    <w:p>
      <w:r>
        <w:rPr>
          <w:b/>
          <w:bCs/>
          <w:i w:val="false"/>
          <w:iCs w:val="false"/>
          <w:color w:val="000000"/>
        </w:rPr>
        <w:t xml:space="preserve">Kaynakça (seçili)</w:t>
      </w:r>
    </w:p>
    <w:p>
      <w:pPr>
        <w:pStyle w:val="ListParagraph"/>
        <w:numPr>
          <w:ilvl w:val="0"/>
          <w:numId w:val="1"/>
        </w:numPr>
      </w:pPr>
      <w:r>
        <w:rPr>
          <w:b/>
          <w:bCs/>
          <w:i w:val="false"/>
          <w:iCs w:val="false"/>
          <w:color w:val="000000"/>
        </w:rPr>
        <w:t xml:space="preserve">Araci, D. (2019). FinBERT: Financial sentiment analysis with pre-trained language models. </w:t>
      </w:r>
      <w:r>
        <w:rPr>
          <w:b/>
          <w:bCs/>
          <w:i/>
          <w:iCs/>
          <w:color w:val="000000"/>
        </w:rPr>
        <w:t xml:space="preserve">arXiv preprint arXiv:1908.10063</w:t>
      </w:r>
      <w:r>
        <w:rPr>
          <w:b/>
          <w:bCs/>
          <w:i w:val="false"/>
          <w:iCs w:val="false"/>
          <w:color w:val="000000"/>
        </w:rPr>
        <w:t xml:space="preserve">.</w:t>
      </w:r>
    </w:p>
    <w:p>
      <w:pPr>
        <w:pStyle w:val="ListParagraph"/>
        <w:numPr>
          <w:ilvl w:val="0"/>
          <w:numId w:val="1"/>
        </w:numPr>
      </w:pPr>
      <w:r>
        <w:rPr>
          <w:b/>
          <w:bCs/>
          <w:i w:val="false"/>
          <w:iCs w:val="false"/>
          <w:color w:val="000000"/>
        </w:rPr>
        <w:t xml:space="preserve">Cohen, J. (1960). A coefficient of agreement for nominal scales. </w:t>
      </w:r>
      <w:r>
        <w:rPr>
          <w:b/>
          <w:bCs/>
          <w:i/>
          <w:iCs/>
          <w:color w:val="000000"/>
        </w:rPr>
        <w:t xml:space="preserve">Educational and Psychological Measurement</w:t>
      </w:r>
      <w:r>
        <w:rPr>
          <w:b/>
          <w:bCs/>
          <w:i w:val="false"/>
          <w:iCs w:val="false"/>
          <w:color w:val="000000"/>
        </w:rPr>
        <w:t xml:space="preserve">, 20(1), 37–46.</w:t>
      </w:r>
    </w:p>
    <w:p>
      <w:pPr>
        <w:pStyle w:val="ListParagraph"/>
        <w:numPr>
          <w:ilvl w:val="0"/>
          <w:numId w:val="1"/>
        </w:numPr>
      </w:pPr>
      <w:r>
        <w:rPr>
          <w:b/>
          <w:bCs/>
          <w:i w:val="false"/>
          <w:iCs w:val="false"/>
          <w:color w:val="000000"/>
        </w:rPr>
        <w:t xml:space="preserve">Devlin, J., Chang, M.-W., Lee, K., &amp; Toutanova, K. (2019). BERT: Pre-training of deep bidirectional transformers for language understanding. </w:t>
      </w:r>
      <w:r>
        <w:rPr>
          <w:b/>
          <w:bCs/>
          <w:i/>
          <w:iCs/>
          <w:color w:val="000000"/>
        </w:rPr>
        <w:t xml:space="preserve">NAACL-HLT</w:t>
      </w:r>
      <w:r>
        <w:rPr>
          <w:b/>
          <w:bCs/>
          <w:i w:val="false"/>
          <w:iCs w:val="false"/>
          <w:color w:val="000000"/>
        </w:rPr>
        <w:t xml:space="preserve">.</w:t>
      </w:r>
    </w:p>
    <w:p>
      <w:pPr>
        <w:pStyle w:val="ListParagraph"/>
        <w:numPr>
          <w:ilvl w:val="0"/>
          <w:numId w:val="1"/>
        </w:numPr>
      </w:pPr>
      <w:r>
        <w:rPr>
          <w:b/>
          <w:bCs/>
          <w:i w:val="false"/>
          <w:iCs w:val="false"/>
          <w:color w:val="000000"/>
        </w:rPr>
        <w:t xml:space="preserve">Fleiss, J. L. (1971). Measuring nominal scale agreement among many raters. </w:t>
      </w:r>
      <w:r>
        <w:rPr>
          <w:b/>
          <w:bCs/>
          <w:i/>
          <w:iCs/>
          <w:color w:val="000000"/>
        </w:rPr>
        <w:t xml:space="preserve">Psychological Bulletin</w:t>
      </w:r>
      <w:r>
        <w:rPr>
          <w:b/>
          <w:bCs/>
          <w:i w:val="false"/>
          <w:iCs w:val="false"/>
          <w:color w:val="000000"/>
        </w:rPr>
        <w:t xml:space="preserve">, 76(5), 378–382.</w:t>
      </w:r>
    </w:p>
    <w:p>
      <w:pPr>
        <w:pStyle w:val="ListParagraph"/>
        <w:numPr>
          <w:ilvl w:val="0"/>
          <w:numId w:val="1"/>
        </w:numPr>
      </w:pPr>
      <w:r>
        <w:rPr>
          <w:b/>
          <w:bCs/>
          <w:i w:val="false"/>
          <w:iCs w:val="false"/>
          <w:color w:val="000000"/>
        </w:rPr>
        <w:t xml:space="preserve">Gilardi, F., Alizadeh, M., &amp; Kubli, M. (2023). ChatGPT outperforms crowd workers for text-annotation tasks. </w:t>
      </w:r>
      <w:r>
        <w:rPr>
          <w:b/>
          <w:bCs/>
          <w:i/>
          <w:iCs/>
          <w:color w:val="000000"/>
        </w:rPr>
        <w:t xml:space="preserve">PNAS</w:t>
      </w:r>
      <w:r>
        <w:rPr>
          <w:b/>
          <w:bCs/>
          <w:i w:val="false"/>
          <w:iCs w:val="false"/>
          <w:color w:val="000000"/>
        </w:rPr>
        <w:t xml:space="preserve">, 120(30).</w:t>
      </w:r>
    </w:p>
    <w:p>
      <w:pPr>
        <w:pStyle w:val="ListParagraph"/>
        <w:numPr>
          <w:ilvl w:val="0"/>
          <w:numId w:val="1"/>
        </w:numPr>
      </w:pPr>
      <w:r>
        <w:rPr>
          <w:b/>
          <w:bCs/>
          <w:i w:val="false"/>
          <w:iCs w:val="false"/>
          <w:color w:val="000000"/>
        </w:rPr>
        <w:t xml:space="preserve">Guo, X., et al. (2023). Temporal distribution shift in financial social media sentiment.</w:t>
      </w:r>
    </w:p>
    <w:p>
      <w:pPr>
        <w:pStyle w:val="ListParagraph"/>
        <w:numPr>
          <w:ilvl w:val="0"/>
          <w:numId w:val="1"/>
        </w:numPr>
      </w:pPr>
      <w:r>
        <w:rPr>
          <w:b/>
          <w:bCs/>
          <w:i w:val="false"/>
          <w:iCs w:val="false"/>
          <w:color w:val="000000"/>
        </w:rPr>
        <w:t xml:space="preserve">Krippendorff, K. (2004). </w:t>
      </w:r>
      <w:r>
        <w:rPr>
          <w:b/>
          <w:bCs/>
          <w:i/>
          <w:iCs/>
          <w:color w:val="000000"/>
        </w:rPr>
        <w:t xml:space="preserve">Content Analysis: An Introduction to Its Methodology</w:t>
      </w:r>
      <w:r>
        <w:rPr>
          <w:b/>
          <w:bCs/>
          <w:i w:val="false"/>
          <w:iCs w:val="false"/>
          <w:color w:val="000000"/>
        </w:rPr>
        <w:t xml:space="preserve">. Sage.</w:t>
      </w:r>
    </w:p>
    <w:p>
      <w:pPr>
        <w:pStyle w:val="ListParagraph"/>
        <w:numPr>
          <w:ilvl w:val="0"/>
          <w:numId w:val="1"/>
        </w:numPr>
      </w:pPr>
      <w:r>
        <w:rPr>
          <w:b/>
          <w:bCs/>
          <w:i w:val="false"/>
          <w:iCs w:val="false"/>
          <w:color w:val="000000"/>
        </w:rPr>
        <w:t xml:space="preserve">Landis, J. R., &amp; Koch, G. G. (1977). The measurement of observer agreement for categorical data. </w:t>
      </w:r>
      <w:r>
        <w:rPr>
          <w:b/>
          <w:bCs/>
          <w:i/>
          <w:iCs/>
          <w:color w:val="000000"/>
        </w:rPr>
        <w:t xml:space="preserve">Biometrics</w:t>
      </w:r>
      <w:r>
        <w:rPr>
          <w:b/>
          <w:bCs/>
          <w:i w:val="false"/>
          <w:iCs w:val="false"/>
          <w:color w:val="000000"/>
        </w:rPr>
        <w:t xml:space="preserve">, 33(1), 159–174.</w:t>
      </w:r>
    </w:p>
    <w:p>
      <w:pPr>
        <w:pStyle w:val="ListParagraph"/>
        <w:numPr>
          <w:ilvl w:val="0"/>
          <w:numId w:val="1"/>
        </w:numPr>
      </w:pPr>
      <w:r>
        <w:rPr>
          <w:b/>
          <w:bCs/>
          <w:i w:val="false"/>
          <w:iCs w:val="false"/>
          <w:color w:val="000000"/>
        </w:rPr>
        <w:t xml:space="preserve">Liu, Y., et al. (2019). RoBERTa: A robustly optimized BERT pretraining approach. </w:t>
      </w:r>
      <w:r>
        <w:rPr>
          <w:b/>
          <w:bCs/>
          <w:i/>
          <w:iCs/>
          <w:color w:val="000000"/>
        </w:rPr>
        <w:t xml:space="preserve">arXiv preprint arXiv:1907.11692</w:t>
      </w:r>
      <w:r>
        <w:rPr>
          <w:b/>
          <w:bCs/>
          <w:i w:val="false"/>
          <w:iCs w:val="false"/>
          <w:color w:val="000000"/>
        </w:rPr>
        <w:t xml:space="preserve">.</w:t>
      </w:r>
    </w:p>
    <w:p>
      <w:pPr>
        <w:pStyle w:val="ListParagraph"/>
        <w:numPr>
          <w:ilvl w:val="0"/>
          <w:numId w:val="1"/>
        </w:numPr>
      </w:pPr>
      <w:r>
        <w:rPr>
          <w:b/>
          <w:bCs/>
          <w:i w:val="false"/>
          <w:iCs w:val="false"/>
          <w:color w:val="000000"/>
        </w:rPr>
        <w:t xml:space="preserve">Loughran, T., &amp; McDonald, B. (2011). When is a liability not a liability? Textual analysis, dictionaries, and 10-Ks. </w:t>
      </w:r>
      <w:r>
        <w:rPr>
          <w:b/>
          <w:bCs/>
          <w:i/>
          <w:iCs/>
          <w:color w:val="000000"/>
        </w:rPr>
        <w:t xml:space="preserve">Journal of Finance</w:t>
      </w:r>
      <w:r>
        <w:rPr>
          <w:b/>
          <w:bCs/>
          <w:i w:val="false"/>
          <w:iCs w:val="false"/>
          <w:color w:val="000000"/>
        </w:rPr>
        <w:t xml:space="preserve">, 66(1), 35–65.</w:t>
      </w:r>
    </w:p>
    <w:p>
      <w:pPr>
        <w:pStyle w:val="ListParagraph"/>
        <w:numPr>
          <w:ilvl w:val="0"/>
          <w:numId w:val="1"/>
        </w:numPr>
      </w:pPr>
      <w:r>
        <w:rPr>
          <w:b/>
          <w:bCs/>
          <w:i w:val="false"/>
          <w:iCs w:val="false"/>
          <w:color w:val="000000"/>
        </w:rPr>
        <w:t xml:space="preserve">Magomere, J., et al. (2025). FinNLI: Financial natural language inference benchmark.</w:t>
      </w:r>
    </w:p>
    <w:p>
      <w:pPr>
        <w:pStyle w:val="ListParagraph"/>
        <w:numPr>
          <w:ilvl w:val="0"/>
          <w:numId w:val="1"/>
        </w:numPr>
      </w:pPr>
      <w:r>
        <w:rPr>
          <w:b/>
          <w:bCs/>
          <w:i w:val="false"/>
          <w:iCs w:val="false"/>
          <w:color w:val="000000"/>
        </w:rPr>
        <w:t xml:space="preserve">Malo, P., Sinha, A., Korhonen, P., Wallenius, J., &amp; Takala, P. (2013). Good debt or bad debt: Detecting semantic orientations in economic texts. </w:t>
      </w:r>
      <w:r>
        <w:rPr>
          <w:b/>
          <w:bCs/>
          <w:i/>
          <w:iCs/>
          <w:color w:val="000000"/>
        </w:rPr>
        <w:t xml:space="preserve">JASIST</w:t>
      </w:r>
      <w:r>
        <w:rPr>
          <w:b/>
          <w:bCs/>
          <w:i w:val="false"/>
          <w:iCs w:val="false"/>
          <w:color w:val="000000"/>
        </w:rPr>
        <w:t xml:space="preserve">, 65(4), 782–796.</w:t>
      </w:r>
    </w:p>
    <w:p>
      <w:pPr>
        <w:pStyle w:val="ListParagraph"/>
        <w:numPr>
          <w:ilvl w:val="0"/>
          <w:numId w:val="1"/>
        </w:numPr>
      </w:pPr>
      <w:r>
        <w:rPr>
          <w:b/>
          <w:bCs/>
          <w:i w:val="false"/>
          <w:iCs w:val="false"/>
          <w:color w:val="000000"/>
        </w:rPr>
        <w:t xml:space="preserve">Sanh, V., et al. (2019). DistilBERT, a distilled version of BERT. </w:t>
      </w:r>
      <w:r>
        <w:rPr>
          <w:b/>
          <w:bCs/>
          <w:i/>
          <w:iCs/>
          <w:color w:val="000000"/>
        </w:rPr>
        <w:t xml:space="preserve">arXiv preprint arXiv:1910.01108</w:t>
      </w:r>
      <w:r>
        <w:rPr>
          <w:b/>
          <w:bCs/>
          <w:i w:val="false"/>
          <w:iCs w:val="false"/>
          <w:color w:val="000000"/>
        </w:rPr>
        <w:t xml:space="preserve">.</w:t>
      </w:r>
    </w:p>
    <w:p>
      <w:pPr>
        <w:pStyle w:val="ListParagraph"/>
        <w:numPr>
          <w:ilvl w:val="0"/>
          <w:numId w:val="1"/>
        </w:numPr>
      </w:pPr>
      <w:r>
        <w:rPr>
          <w:b/>
          <w:bCs/>
          <w:i w:val="false"/>
          <w:iCs w:val="false"/>
          <w:color w:val="000000"/>
        </w:rPr>
        <w:t xml:space="preserve">Snow, R., O’Connor, B., Jurafsky, D., &amp; Ng, A. Y. (2008). Cheap and fast—but is it good? Evaluating non-expert annotations for natural language tasks. </w:t>
      </w:r>
      <w:r>
        <w:rPr>
          <w:b/>
          <w:bCs/>
          <w:i/>
          <w:iCs/>
          <w:color w:val="000000"/>
        </w:rPr>
        <w:t xml:space="preserve">EMNLP</w:t>
      </w:r>
      <w:r>
        <w:rPr>
          <w:b/>
          <w:bCs/>
          <w:i w:val="false"/>
          <w:iCs w:val="false"/>
          <w:color w:val="000000"/>
        </w:rPr>
        <w:t xml:space="preserve">.</w:t>
      </w:r>
    </w:p>
    <w:p>
      <w:pPr>
        <w:pStyle w:val="ListParagraph"/>
        <w:numPr>
          <w:ilvl w:val="0"/>
          <w:numId w:val="1"/>
        </w:numPr>
      </w:pPr>
      <w:r>
        <w:rPr>
          <w:b/>
          <w:bCs/>
          <w:i w:val="false"/>
          <w:iCs w:val="false"/>
          <w:color w:val="000000"/>
        </w:rPr>
        <w:t xml:space="preserve">Storks, S., Gao, Q., &amp; Chai, J. Y. (2019). Recent advances in natural language inference: A survey of benchmarks, resources, and approaches. </w:t>
      </w:r>
      <w:r>
        <w:rPr>
          <w:b/>
          <w:bCs/>
          <w:i/>
          <w:iCs/>
          <w:color w:val="000000"/>
        </w:rPr>
        <w:t xml:space="preserve">arXiv preprint arXiv:1904.01172</w:t>
      </w:r>
      <w:r>
        <w:rPr>
          <w:b/>
          <w:bCs/>
          <w:i w:val="false"/>
          <w:iCs w:val="false"/>
          <w:color w:val="000000"/>
        </w:rPr>
        <w:t xml:space="preserve">.</w:t>
      </w:r>
    </w:p>
    <w:p>
      <w:pPr>
        <w:pStyle w:val="ListParagraph"/>
        <w:numPr>
          <w:ilvl w:val="0"/>
          <w:numId w:val="1"/>
        </w:numPr>
      </w:pPr>
      <w:r>
        <w:rPr>
          <w:b/>
          <w:bCs/>
          <w:i w:val="false"/>
          <w:iCs w:val="false"/>
          <w:color w:val="000000"/>
        </w:rPr>
        <w:t xml:space="preserve">Wiebe, J., Wilson, T., &amp; Cardie, C. (2005). Annotating expressions of opinions and emotions in language. </w:t>
      </w:r>
      <w:r>
        <w:rPr>
          <w:b/>
          <w:bCs/>
          <w:i/>
          <w:iCs/>
          <w:color w:val="000000"/>
        </w:rPr>
        <w:t xml:space="preserve">Language Resources and Evaluation</w:t>
      </w:r>
      <w:r>
        <w:rPr>
          <w:b/>
          <w:bCs/>
          <w:i w:val="false"/>
          <w:iCs w:val="false"/>
          <w:color w:val="000000"/>
        </w:rPr>
        <w:t xml:space="preserve">, 39(2–3), 165–210.</w:t>
      </w:r>
    </w:p>
    <w:p>
      <w:pPr>
        <w:pStyle w:val="ListParagraph"/>
        <w:numPr>
          <w:ilvl w:val="0"/>
          <w:numId w:val="1"/>
        </w:numPr>
      </w:pPr>
      <w:r>
        <w:rPr>
          <w:b/>
          <w:bCs/>
          <w:i w:val="false"/>
          <w:iCs w:val="false"/>
          <w:color w:val="000000"/>
        </w:rPr>
        <w:t xml:space="preserve">Yang, Y., UY, M. C. S., &amp; Huang, A. (2020). FinBERT: A pretrained language model for financial communications. </w:t>
      </w:r>
      <w:r>
        <w:rPr>
          <w:b/>
          <w:bCs/>
          <w:i/>
          <w:iCs/>
          <w:color w:val="000000"/>
        </w:rPr>
        <w:t xml:space="preserve">arXiv preprint arXiv:2006.08097</w:t>
      </w:r>
      <w:r>
        <w:rPr>
          <w:b/>
          <w:bCs/>
          <w:i w:val="false"/>
          <w:iCs w:val="false"/>
          <w:color w:val="000000"/>
        </w:rPr>
        <w:t xml:space="preserve">.</w:t>
      </w:r>
    </w:p>
    <w:p>
      <w:r>
        <w:rPr>
          <w:b/>
          <w:bCs/>
          <w:i w:val="false"/>
          <w:iCs w:val="false"/>
          <w:color w:val="000000"/>
        </w:rPr>
        <w:t xml:space="preserve">Bu revizyonda hâlâ karşılanamayan jüri maddeleri ve nasıl ele alındığı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i w:val="false"/>
                <w:iCs w:val="false"/>
                <w:color w:val="000000"/>
              </w:rPr>
              <w:t xml:space="preserve">Jüri maddesi</w:t>
            </w:r>
          </w:p>
        </w:tc>
        <w:tc>
          <w:p>
            <w:r>
              <w:rPr>
                <w:b/>
                <w:bCs/>
                <w:i w:val="false"/>
                <w:iCs w:val="false"/>
                <w:color w:val="000000"/>
              </w:rPr>
              <w:t xml:space="preserve">Durum</w:t>
            </w:r>
          </w:p>
        </w:tc>
        <w:tc>
          <w:p>
            <w:r>
              <w:rPr>
                <w:b/>
                <w:bCs/>
                <w:i w:val="false"/>
                <w:iCs w:val="false"/>
                <w:color w:val="000000"/>
              </w:rPr>
              <w:t xml:space="preserve">Nasıl ele alındı</w:t>
            </w:r>
          </w:p>
        </w:tc>
      </w:tr>
      <w:tr>
        <w:tc>
          <w:p>
            <w:r>
              <w:rPr>
                <w:b/>
                <w:bCs/>
                <w:i w:val="false"/>
                <w:iCs w:val="false"/>
                <w:color w:val="000000"/>
              </w:rPr>
              <w:t xml:space="preserve">1. Rubrik</w:t>
            </w:r>
          </w:p>
        </w:tc>
        <w:tc>
          <w:p>
            <w:r>
              <w:rPr>
                <w:b/>
                <w:bCs/>
                <w:i w:val="false"/>
                <w:iCs w:val="false"/>
                <w:color w:val="000000"/>
              </w:rPr>
              <w:t xml:space="preserve">Kısmen</w:t>
            </w:r>
          </w:p>
        </w:tc>
        <w:tc>
          <w:p>
            <w:r>
              <w:rPr>
                <w:b/>
                <w:bCs/>
                <w:i w:val="false"/>
                <w:iCs w:val="false"/>
                <w:color w:val="000000"/>
              </w:rPr>
              <w:t xml:space="preserve">§3.3’te post-hoc dokümante edilmiş rubrik; prospektif kullanılmadığı açıkça yazıldı</w:t>
            </w:r>
          </w:p>
        </w:tc>
      </w:tr>
      <w:tr>
        <w:tc>
          <w:p>
            <w:r>
              <w:rPr>
                <w:b/>
                <w:bCs/>
                <w:i w:val="false"/>
                <w:iCs w:val="false"/>
                <w:color w:val="000000"/>
              </w:rPr>
              <w:t xml:space="preserve">2. Etiketleyiciler arası uyum</w:t>
            </w:r>
          </w:p>
        </w:tc>
        <w:tc>
          <w:p>
            <w:r>
              <w:rPr>
                <w:b/>
                <w:bCs/>
                <w:i w:val="false"/>
                <w:iCs w:val="false"/>
                <w:color w:val="000000"/>
              </w:rPr>
              <w:t xml:space="preserve">Karşılanamadı</w:t>
            </w:r>
          </w:p>
        </w:tc>
        <w:tc>
          <w:p>
            <w:r>
              <w:rPr>
                <w:b/>
                <w:bCs/>
                <w:i w:val="false"/>
                <w:iCs w:val="false"/>
                <w:color w:val="000000"/>
              </w:rPr>
              <w:t xml:space="preserve">§3.8 ve §6.3’te açık sınırlılık; öz ve tartışmada keşifsel yorum uyarısı</w:t>
            </w:r>
          </w:p>
        </w:tc>
      </w:tr>
      <w:tr>
        <w:tc>
          <w:p>
            <w:r>
              <w:rPr>
                <w:b/>
                <w:bCs/>
                <w:i w:val="false"/>
                <w:iCs w:val="false"/>
                <w:color w:val="000000"/>
              </w:rPr>
              <w:t xml:space="preserve">3. Etiketleme metodolojisi literatürü</w:t>
            </w:r>
          </w:p>
        </w:tc>
        <w:tc>
          <w:p>
            <w:r>
              <w:rPr>
                <w:b/>
                <w:bCs/>
                <w:i w:val="false"/>
                <w:iCs w:val="false"/>
                <w:color w:val="000000"/>
              </w:rPr>
              <w:t xml:space="preserve">Karşılandı</w:t>
            </w:r>
          </w:p>
        </w:tc>
        <w:tc>
          <w:p>
            <w:r>
              <w:rPr>
                <w:b/>
                <w:bCs/>
                <w:i w:val="false"/>
                <w:iCs w:val="false"/>
                <w:color w:val="000000"/>
              </w:rPr>
              <w:t xml:space="preserve">Yeni §2.5 eklendi</w:t>
            </w:r>
          </w:p>
        </w:tc>
      </w:tr>
      <w:tr>
        <w:tc>
          <w:p>
            <w:r>
              <w:rPr>
                <w:b/>
                <w:bCs/>
                <w:i w:val="false"/>
                <w:iCs w:val="false"/>
                <w:color w:val="000000"/>
              </w:rPr>
              <w:t xml:space="preserve">4. Tekrarlanabilirlik</w:t>
            </w:r>
          </w:p>
        </w:tc>
        <w:tc>
          <w:p>
            <w:r>
              <w:rPr>
                <w:b/>
                <w:bCs/>
                <w:i w:val="false"/>
                <w:iCs w:val="false"/>
                <w:color w:val="000000"/>
              </w:rPr>
              <w:t xml:space="preserve">Karşılandı</w:t>
            </w:r>
          </w:p>
        </w:tc>
        <w:tc>
          <w:p>
            <w:r>
              <w:rPr>
                <w:b/>
                <w:bCs/>
                <w:i w:val="false"/>
                <w:iCs w:val="false"/>
                <w:color w:val="000000"/>
              </w:rPr>
              <w:t xml:space="preserve">§3.2 ve §3.8 genişletildi; kod/split/DOI paylaşımı beyan edildi</w:t>
            </w:r>
          </w:p>
        </w:tc>
      </w:tr>
      <w:tr>
        <w:tc>
          <w:p>
            <w:r>
              <w:rPr>
                <w:b/>
                <w:bCs/>
                <w:i w:val="false"/>
                <w:iCs w:val="false"/>
                <w:color w:val="000000"/>
              </w:rPr>
              <w:t xml:space="preserve">5. Veri seti tanımı</w:t>
            </w:r>
          </w:p>
        </w:tc>
        <w:tc>
          <w:p>
            <w:r>
              <w:rPr>
                <w:b/>
                <w:bCs/>
                <w:i w:val="false"/>
                <w:iCs w:val="false"/>
                <w:color w:val="000000"/>
              </w:rPr>
              <w:t xml:space="preserve">Karşılandı</w:t>
            </w:r>
          </w:p>
        </w:tc>
        <w:tc>
          <w:p>
            <w:r>
              <w:rPr>
                <w:b/>
                <w:bCs/>
                <w:i w:val="false"/>
                <w:iCs w:val="false"/>
                <w:color w:val="000000"/>
              </w:rPr>
              <w:t xml:space="preserve">Tablo 1 kaynak, rol, etiketleme sütunlarıyla genişletildi</w:t>
            </w:r>
          </w:p>
        </w:tc>
      </w:tr>
      <w:tr>
        <w:tc>
          <w:p>
            <w:r>
              <w:rPr>
                <w:b/>
                <w:bCs/>
                <w:i w:val="false"/>
                <w:iCs w:val="false"/>
                <w:color w:val="000000"/>
              </w:rPr>
              <w:t xml:space="preserve">6. Model aileleri</w:t>
            </w:r>
          </w:p>
        </w:tc>
        <w:tc>
          <w:p>
            <w:r>
              <w:rPr>
                <w:b/>
                <w:bCs/>
                <w:i w:val="false"/>
                <w:iCs w:val="false"/>
                <w:color w:val="000000"/>
              </w:rPr>
              <w:t xml:space="preserve">Karşılandı</w:t>
            </w:r>
          </w:p>
        </w:tc>
        <w:tc>
          <w:p>
            <w:r>
              <w:rPr>
                <w:b/>
                <w:bCs/>
                <w:i w:val="false"/>
                <w:iCs w:val="false"/>
                <w:color w:val="000000"/>
              </w:rPr>
              <w:t xml:space="preserve">Yeni §3.4 ve Tablo 2 eklendi</w:t>
            </w:r>
          </w:p>
        </w:tc>
      </w:tr>
      <w:tr>
        <w:tc>
          <w:p>
            <w:r>
              <w:rPr>
                <w:b/>
                <w:bCs/>
                <w:i w:val="false"/>
                <w:iCs w:val="false"/>
                <w:color w:val="000000"/>
              </w:rPr>
              <w:t xml:space="preserve">7. Sentetik veri ayrımı</w:t>
            </w:r>
          </w:p>
        </w:tc>
        <w:tc>
          <w:p>
            <w:r>
              <w:rPr>
                <w:b/>
                <w:bCs/>
                <w:i w:val="false"/>
                <w:iCs w:val="false"/>
                <w:color w:val="000000"/>
              </w:rPr>
              <w:t xml:space="preserve">Karşılandı</w:t>
            </w:r>
          </w:p>
        </w:tc>
        <w:tc>
          <w:p>
            <w:r>
              <w:rPr>
                <w:b/>
                <w:bCs/>
                <w:i w:val="false"/>
                <w:iCs w:val="false"/>
                <w:color w:val="000000"/>
              </w:rPr>
              <w:t xml:space="preserve">Yeni §3.5; sentetik üretim ile LLM-etiketli gerçek veri ayrıştırıldı</w:t>
            </w:r>
          </w:p>
        </w:tc>
      </w:tr>
    </w:tbl>
    <w:p>
      <w:r>
        <w:rPr>
          <w:b/>
          <w:bCs/>
          <w:i w:val="false"/>
          <w:iCs w:val="false"/>
          <w:color w:val="000000"/>
        </w:rPr>
        <w:t xml:space="preserve">Bu hâliyle yayın, jüri raporundaki yazıyla çözülebilir maddeleri karşılamakta; ek deney gerektiren maddeleri ise açık, dürüst ve savunulabilir sınırlılıklar olarak sunmaktadır.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 w:type="paragraph" w:styleId="JenniFigureCaption">
    <w:name w:val="JenniFigureCaption"/>
    <w:basedOn w:val="Normal"/>
    <w:next w:val="Normal"/>
    <w:qFormat/>
    <w:pPr>
      <w:spacing w:after="120"/>
    </w:pPr>
    <w:rPr>
      <w:i/>
      <w:iCs/>
      <w:sz w:val="20"/>
      <w:szCs w:val="20"/>
    </w:rPr>
  </w:style>
  <w:style w:type="paragraph" w:styleId="JenniCodeBlock">
    <w:name w:val="JenniCodeBlock"/>
    <w:basedOn w:val="Normal"/>
    <w:next w:val="Normal"/>
    <w:qFormat/>
    <w:rPr>
      <w:rFonts w:ascii="Consolas" w:cs="Consolas" w:eastAsia="Consolas" w:hAnsi="Consolas"/>
    </w:rPr>
  </w:style>
  <w:style w:type="paragraph" w:styleId="JenniCodeLanguage">
    <w:name w:val="JenniCodeLanguage"/>
    <w:basedOn w:val="Normal"/>
    <w:next w:val="JenniCodeBlock"/>
    <w:qFormat/>
    <w:pPr>
      <w:spacing w:after="60"/>
    </w:pPr>
    <w:rPr>
      <w:i/>
      <w:iCs/>
      <w:color w:val="7171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LoughranT11</b:Tag>
    <b:SourceType>JournalArticle</b:SourceType>
    <b:Guid>{c09f5f3d-1b85-4532-996a-eac1bdd4abd9}</b:Guid>
    <b:Title>When Is a Liability Not a Liability? Textual Analysis, Dictionaries, and 10‐Ks</b:Title>
    <b:Year>2011</b:Year>
    <b:JournalName>The Journal of Finance</b:JournalName>
    <b:BookTitle>The Journal of Finance</b:BookTitle>
    <b:Volume>66</b:Volume>
    <b:Issue>1</b:Issue>
    <b:Pages>35-65</b:Pages>
    <b:Publisher>Wiley</b:Publisher>
    <b:URL>https://doi.org/10.1111/j.1540-6261.2010.01625.x</b:URL>
    <b:DOI>10.1111/j.1540-6261.2010.01625.x</b:DOI>
    <b:Author>
      <b:Author>
        <b:NameList>
          <b:Person>
            <b:Last>Loughran</b:Last>
            <b:First>Tim</b:First>
          </b:Person>
          <b:Person>
            <b:Last>McDonald</b:Last>
            <b:First>Bill</b:First>
          </b:Person>
        </b:NameList>
      </b:Author>
    </b:Author>
    <b:JenniData>z: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</b:JenniData>
  </b:Source>
  <b:Source>
    <b:Tag>AraciD19</b:Tag>
    <b:SourceType>JournalArticle</b:SourceType>
    <b:Guid>{d089ac8f-27ab-414e-94b6-4b72daab87db}</b:Guid>
    <b:Title>FinBERT: Financial Sentiment Analysis with Pre-trained Language Models</b:Title>
    <b:Year>2019</b:Year>
    <b:JournalName>arXiv (Cornell University)</b:JournalName>
    <b:BookTitle>arXiv (Cornell University)</b:BookTitle>
    <b:Publisher>Cornell University</b:Publisher>
    <b:URL>http://arxiv.org/abs/1908.10063</b:URL>
    <b:DOI>10.48550/arxiv.1908.10063</b:DOI>
    <b:Author>
      <b:Author>
        <b:NameList>
          <b:Person>
            <b:Last>Araci</b:Last>
            <b:First>Dogu</b:First>
          </b:Person>
        </b:NameList>
      </b:Author>
    </b:Author>
    <b:JenniData>z: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</b:JenniData>
  </b:Source>
  <b:Source>
    <b:Tag>MaloP13</b:Tag>
    <b:SourceType>JournalArticle</b:SourceType>
    <b:Guid>{78cfe355-69cf-47a2-8aa2-d3f7c6442f73}</b:Guid>
    <b:Title>Good debt or bad debt: Detecting semantic orientations in economic texts</b:Title>
    <b:Year>2013</b:Year>
    <b:JournalName>Journal of the Association for Information Science and Technology</b:JournalName>
    <b:BookTitle>Journal of the Association for Information Science and Technology</b:BookTitle>
    <b:Volume>65</b:Volume>
    <b:Issue>4</b:Issue>
    <b:Pages>782-796</b:Pages>
    <b:Publisher>Wiley</b:Publisher>
    <b:URL>https://doi.org/10.1002/asi.23062</b:URL>
    <b:DOI>10.1002/asi.23062</b:DOI>
    <b:Author>
      <b:Author>
        <b:NameList>
          <b:Person>
            <b:Last>Malo</b:Last>
            <b:First>Pekka</b:First>
          </b:Person>
          <b:Person>
            <b:Last>Sinha</b:Last>
            <b:First>Ankur</b:First>
          </b:Person>
          <b:Person>
            <b:Last>Korhonen</b:Last>
            <b:First>Pekka</b:First>
          </b:Person>
          <b:Person>
            <b:Last>Wallenius</b:Last>
            <b:First>Jyrki</b:First>
          </b:Person>
          <b:Person>
            <b:Last>Takala</b:Last>
            <b:First>Pyry</b:First>
          </b:Person>
        </b:NameList>
      </b:Author>
    </b:Author>
    <b:JenniData>z: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</b:JenniData>
  </b:Source>
  <b:Source>
    <b:Tag>DevlinJ19</b:Tag>
    <b:SourceType>JournalArticle</b:SourceType>
    <b:Guid>{1dbb8459-53b6-4d1d-8643-95149154e855}</b:Guid>
    <b:Title>BERT: Pre-training of Deep Bidirectional Transformers for Language Understanding</b:Title>
    <b:Year>2019</b:Year>
    <b:Pages>4171-4186</b:Pages>
    <b:URL>https://doi.org/10.18653/v1/n19-1423</b:URL>
    <b:DOI>10.18653/v1/n19-1423</b:DOI>
    <b:Author>
      <b:Author>
        <b:NameList>
          <b:Person>
            <b:Last>Devlin</b:Last>
            <b:First>Jacob</b:First>
          </b:Person>
          <b:Person>
            <b:Last>Chang</b:Last>
            <b:First>Ming‐Wei</b:First>
          </b:Person>
          <b:Person>
            <b:Last>Lee</b:Last>
            <b:First>Kenton</b:First>
          </b:Person>
          <b:Person>
            <b:Last>Toutanova</b:Last>
            <b:First>Kristina</b:First>
          </b:Person>
        </b:NameList>
      </b:Author>
    </b:Author>
    <b:JenniData>z: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</b:JenniData>
  </b:Source>
  <b:Source>
    <b:Tag>YangY20</b:Tag>
    <b:SourceType>JournalArticle</b:SourceType>
    <b:Guid>{a7c24a1b-579b-43af-b987-e2b099c4d07d}</b:Guid>
    <b:Title>FinBERT: A Pretrained Language Model for Financial Communications</b:Title>
    <b:Year>2020</b:Year>
    <b:JournalName>arXiv (Cornell University)</b:JournalName>
    <b:BookTitle>arXiv (Cornell University)</b:BookTitle>
    <b:Publisher>Cornell University</b:Publisher>
    <b:URL>http://arxiv.org/abs/2006.08097</b:URL>
    <b:DOI>10.48550/arxiv.2006.08097</b:DOI>
    <b:Author>
      <b:Author>
        <b:NameList>
          <b:Person>
            <b:Last>Yang</b:Last>
            <b:First>Yi</b:First>
          </b:Person>
          <b:Person>
            <b:Last>Uy</b:Last>
            <b:First>Mark Christopher Siy</b:First>
          </b:Person>
          <b:Person>
            <b:Last>Huang</b:Last>
            <b:First>Allen</b:First>
          </b:Person>
        </b:NameList>
      </b:Author>
    </b:Author>
    <b:JenniData>z: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</b:JenniData>
  </b:Source>
  <b:Source>
    <b:Tag>LiuY19</b:Tag>
    <b:SourceType>JournalArticle</b:SourceType>
    <b:Guid>{611483f4-c75f-4b19-b435-de29a5401a03}</b:Guid>
    <b:Title>RoBERTa: A robustly optimized BERT pretraining approach</b:Title>
    <b:Year>2019</b:Year>
    <b:JournalName>arXiv preprint</b:JournalName>
    <b:BookTitle>arXiv preprint</b:BookTitle>
    <b:Author>
      <b:Author>
        <b:NameList>
          <b:Person>
            <b:Last>Liu</b:Last>
            <b:First>Y.</b:First>
          </b:Person>
        </b:NameList>
      </b:Author>
    </b:Author>
    <b:JenniData>z:JY6xTgMxEEQtGn6B0hUlAhoEHQgKJKqIIin3znvOJr5da71OcqmSz8rf5azU8+bNnC/ubhClSOzCXnR7cfdjL2xAjPrLg8xAhGpr0XJCI0vIoEva+ayYldhSw5W6ajPSfIFhxOYdYKQ09X9UMdIOuVs9BZWEbkOlVAzfYBhen1/eY6mdTXkuudvE4W0hXz+Lf/jwn16lq8XS5CUbjXTE4FvWDpjOP4mjh5xVoF8PJpn6cgpN9/B4BQ==</b:JenniData>
  </b:Source>
  <b:Source>
    <b:Tag>JohannaS19</b:Tag>
    <b:SourceType>JournalArticle</b:SourceType>
    <b:Guid>{52b6b4b8-89a7-4f47-9432-074d79e7b04d}</b:Guid>
    <b:Title>DistilBERT, a distilled version of BERT: smaller, faster, cheaper and lighter</b:Title>
    <b:Year>2019</b:Year>
    <b:JournalName>Transactions on Graph Data and Knowledge</b:JournalName>
    <b:BookTitle>Transactions on Graph Data and Knowledge</b:BookTitle>
    <b:Publisher>Schloss Dagstuhl — Leibniz-Zentrum fuer Informatik</b:Publisher>
    <b:URL>http://arxiv.org/abs/1910.01108</b:URL>
    <b:DOI>10.4230/tgdk.3.3.5</b:DOI>
    <b:Author>
      <b:Author>
        <b:NameList>
          <b:Person>
            <b:Last>Johanna</b:Last>
            <b:First>Schmidt, Wilma</b:First>
          </b:Person>
          <b:Person>
            <b:Last>Irlan</b:Last>
            <b:First>Grangel-González,</b:First>
          </b:Person>
          <b:Person>
            <b:Last>Adrian</b:Last>
            <b:First>Paschke,</b:First>
          </b:Person>
          <b:Person>
            <b:Last>Evgeny</b:Last>
            <b:First>Kharlamov,</b:First>
          </b:Person>
        </b:NameList>
      </b:Author>
    </b:Author>
    <b:JenniData>z: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</b:JenniData>
  </b:Source>
  <b:Source>
    <b:Tag>StorksS19</b:Tag>
    <b:SourceType>JournalArticle</b:SourceType>
    <b:Guid>{64e9a8ba-0868-4837-baa7-8c0e60c8d1fd}</b:Guid>
    <b:Title>Recent Advances in Natural Language Inference: A Survey of Benchmarks,\n Resources, and Approaches</b:Title>
    <b:Year>2019</b:Year>
    <b:JournalName>arXiv (Cornell University)</b:JournalName>
    <b:BookTitle>arXiv (Cornell University)</b:BookTitle>
    <b:Publisher>Cornell University</b:Publisher>
    <b:URL>http://arxiv.org/abs/1904.01172</b:URL>
    <b:DOI>10.48550/arxiv.1904.01172</b:DOI>
    <b:Author>
      <b:Author>
        <b:NameList>
          <b:Person>
            <b:Last>Storks</b:Last>
            <b:First>Shane</b:First>
          </b:Person>
          <b:Person>
            <b:Last>Gao</b:Last>
            <b:First>Qiaozi</b:First>
          </b:Person>
          <b:Person>
            <b:Last>Chai</b:Last>
            <b:First>Joyce</b:First>
          </b:Person>
        </b:NameList>
      </b:Author>
    </b:Author>
    <b:JenniData>z: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</b:JenniData>
  </b:Source>
  <b:Source>
    <b:Tag>MagomereJ25</b:Tag>
    <b:SourceType>JournalArticle</b:SourceType>
    <b:Guid>{3e44e84f-edd2-4f5c-97a0-856d4df9ae9b}</b:Guid>
    <b:Title>FinNLI: Novel Dataset for Multi-Genre Financial Natural Language Inference Benchmarking</b:Title>
    <b:Year>2025</b:Year>
    <b:Pages>4545-4568</b:Pages>
    <b:URL>https://doi.org/10.18653/v1/2025.findings-naacl.257</b:URL>
    <b:DOI>10.18653/v1/2025.findings-naacl.257</b:DOI>
    <b:Author>
      <b:Author>
        <b:NameList>
          <b:Person>
            <b:Last>Magomere</b:Last>
            <b:First>Jabez</b:First>
          </b:Person>
          <b:Person>
            <b:Last>Kochkina</b:Last>
            <b:First>Elena</b:First>
          </b:Person>
          <b:Person>
            <b:Last>Mensah</b:Last>
            <b:First>S. Y.</b:First>
          </b:Person>
          <b:Person>
            <b:Last>Kaur</b:Last>
            <b:First>Simerjot</b:First>
          </b:Person>
          <b:Person>
            <b:Last>Smiley</b:Last>
            <b:First>Charese</b:First>
          </b:Person>
        </b:NameList>
      </b:Author>
    </b:Author>
    <b:JenniData>z: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</b:JenniData>
  </b:Source>
  <b:Source>
    <b:Tag>GuoY23</b:Tag>
    <b:SourceType>JournalArticle</b:SourceType>
    <b:Guid>{7efdacbc-0bff-41a3-887f-e502971fce1e}</b:Guid>
    <b:Title>Predict the Future from the Past? On the Temporal Data Distribution Shift in Financial Sentiment Classifications</b:Title>
    <b:Year>2023</b:Year>
    <b:JournalName>Rare &amp; Special e-Zone (The Hong Kong University of Science and Technology)</b:JournalName>
    <b:BookTitle>Rare &amp; Special e-Zone (The Hong Kong University of Science and Technology)</b:BookTitle>
    <b:Pages>1029-1038</b:Pages>
    <b:Publisher>Hong Kong University of Science and Technology</b:Publisher>
    <b:URL>https://doi.org/10.18653/v1/2023.emnlp-main.65</b:URL>
    <b:DOI>10.18653/v1/2023.emnlp-main.65</b:DOI>
    <b:Author>
      <b:Author>
        <b:NameList>
          <b:Person>
            <b:Last>Guo</b:Last>
            <b:First>Yue</b:First>
          </b:Person>
          <b:Person>
            <b:Last>Hu</b:Last>
            <b:First>Chenxi</b:First>
          </b:Person>
          <b:Person>
            <b:Last>Yi</b:Last>
            <b:First>Yang</b:First>
          </b:Person>
        </b:NameList>
      </b:Author>
    </b:Author>
    <b:JenniData>z: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</b:JenniData>
  </b:Source>
  <b:Source>
    <b:Tag>SnowR08</b:Tag>
    <b:SourceType>JournalArticle</b:SourceType>
    <b:Guid>{559fb569-2e6a-4ae6-b330-d4caa3f8b325}</b:Guid>
    <b:Title>Cheap and fast---but is it good?</b:Title>
    <b:Year>2008</b:Year>
    <b:Pages>254</b:Pages>
    <b:URL>https://doi.org/10.3115/1613715.1613751</b:URL>
    <b:DOI>10.3115/1613715.1613751</b:DOI>
    <b:Author>
      <b:Author>
        <b:NameList>
          <b:Person>
            <b:Last>Snow</b:Last>
            <b:First>Rion</b:First>
          </b:Person>
          <b:Person>
            <b:Last>O’Connor</b:Last>
            <b:First>Brendan</b:First>
          </b:Person>
          <b:Person>
            <b:Last>Jurafsky</b:Last>
            <b:First>Daniel</b:First>
          </b:Person>
          <b:Person>
            <b:Last>Ng</b:Last>
            <b:First>Andrew Y.</b:First>
          </b:Person>
        </b:NameList>
      </b:Author>
    </b:Author>
    <b:JenniData>z: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</b:JenniData>
  </b:Source>
  <b:Source>
    <b:Tag>CohenJ60</b:Tag>
    <b:SourceType>JournalArticle</b:SourceType>
    <b:Guid>{6bf9cd75-7586-404a-9d9c-e189d7f90425}</b:Guid>
    <b:Title>A Coefficient of Agreement for Nominal Scales</b:Title>
    <b:Year>1960</b:Year>
    <b:JournalName>Educational and Psychological Measurement</b:JournalName>
    <b:BookTitle>Educational and Psychological Measurement</b:BookTitle>
    <b:Volume>20</b:Volume>
    <b:Issue>1</b:Issue>
    <b:Pages>37-46</b:Pages>
    <b:Publisher>SAGE Publishing</b:Publisher>
    <b:URL>https://doi.org/10.1177/001316446002000104</b:URL>
    <b:DOI>10.1177/001316446002000104</b:DOI>
    <b:Author>
      <b:Author>
        <b:NameList>
          <b:Person>
            <b:Last>Cohen</b:Last>
            <b:First>Jacob</b:First>
          </b:Person>
        </b:NameList>
      </b:Author>
    </b:Author>
    <b:JenniData>z: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</b:JenniData>
  </b:Source>
  <b:Source>
    <b:Tag>FleissJ71</b:Tag>
    <b:SourceType>JournalArticle</b:SourceType>
    <b:Guid>{1a1231ec-5a1b-48a3-accb-081cf3690692}</b:Guid>
    <b:Title>Measuring nominal scale agreement among many raters.</b:Title>
    <b:Year>1971</b:Year>
    <b:JournalName>Psychological Bulletin</b:JournalName>
    <b:BookTitle>Psychological Bulletin</b:BookTitle>
    <b:Volume>76</b:Volume>
    <b:Issue>5</b:Issue>
    <b:Pages>378-382</b:Pages>
    <b:Publisher>American Psychological Association</b:Publisher>
    <b:URL>https://doi.org/10.1037/h0031619</b:URL>
    <b:DOI>10.1037/h0031619</b:DOI>
    <b:Author>
      <b:Author>
        <b:NameList>
          <b:Person>
            <b:Last>Fleiss</b:Last>
            <b:First>Joseph L.</b:First>
          </b:Person>
        </b:NameList>
      </b:Author>
    </b:Author>
    <b:JenniData>z: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</b:JenniData>
  </b:Source>
  <b:Source>
    <b:Tag>KrippendorffK19</b:Tag>
    <b:SourceType>Book</b:SourceType>
    <b:Guid>{3d57f0e2-da26-4723-ae81-34f59d197ada}</b:Guid>
    <b:Title>Content Analysis: An Introduction to Its Methodology</b:Title>
    <b:Year>2019</b:Year>
    <b:JournalName>Saber7 UCAB</b:JournalName>
    <b:BookTitle>Saber7 UCAB</b:BookTitle>
    <b:Publisher>Universidad Católica Andrés Bello</b:Publisher>
    <b:URL>https://doi.org/10.4135/9781071878781</b:URL>
    <b:DOI>10.4135/9781071878781</b:DOI>
    <b:Author>
      <b:Author>
        <b:NameList>
          <b:Person>
            <b:Last>Krippendorff</b:Last>
            <b:First>Klaus</b:First>
          </b:Person>
        </b:NameList>
      </b:Author>
    </b:Author>
    <b:JenniData>z: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</b:JenniData>
  </b:Source>
  <b:Source>
    <b:Tag>LandisJ77</b:Tag>
    <b:SourceType>JournalArticle</b:SourceType>
    <b:Guid>{af57a84c-85dc-41fe-8744-f2722d02e507}</b:Guid>
    <b:Title>The Measurement of Observer Agreement for Categorical Data</b:Title>
    <b:Year>1977</b:Year>
    <b:JournalName>Biometrics</b:JournalName>
    <b:BookTitle>Biometrics</b:BookTitle>
    <b:Volume>33</b:Volume>
    <b:Issue>1</b:Issue>
    <b:Pages>159</b:Pages>
    <b:Publisher>Oxford University Press</b:Publisher>
    <b:URL>https://doi.org/10.2307/2529310</b:URL>
    <b:DOI>10.2307/2529310</b:DOI>
    <b:Author>
      <b:Author>
        <b:NameList>
          <b:Person>
            <b:Last>Landis</b:Last>
            <b:First>J. Richard</b:First>
          </b:Person>
          <b:Person>
            <b:Last>Koch</b:Last>
            <b:First>Gary G.</b:First>
          </b:Person>
        </b:NameList>
      </b:Author>
    </b:Author>
    <b:JenniData>z: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</b:JenniData>
  </b:Source>
  <b:Source>
    <b:Tag>WiebeJ05</b:Tag>
    <b:SourceType>JournalArticle</b:SourceType>
    <b:Guid>{671b01c2-698b-4694-b7f3-969a3703375a}</b:Guid>
    <b:Title>Annotating Expressions of Opinions and Emotions in Language</b:Title>
    <b:Year>2005</b:Year>
    <b:JournalName>Computers and the Humanities</b:JournalName>
    <b:BookTitle>Computers and the Humanities</b:BookTitle>
    <b:Volume>39</b:Volume>
    <b:Pages>165-210</b:Pages>
    <b:Publisher>Springer Nature</b:Publisher>
    <b:URL>https://doi.org/10.1007/s10579-005-7880-9</b:URL>
    <b:DOI>10.1007/s10579-005-7880-9</b:DOI>
    <b:Author>
      <b:Author>
        <b:NameList>
          <b:Person>
            <b:Last>Wiebe</b:Last>
            <b:First>Janyce</b:First>
          </b:Person>
          <b:Person>
            <b:Last>Wilson</b:Last>
            <b:First>Theresa</b:First>
          </b:Person>
          <b:Person>
            <b:Last>Cardie</b:Last>
            <b:First>Claire</b:First>
          </b:Person>
        </b:NameList>
      </b:Author>
    </b:Author>
    <b:JenniData>z: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</b:JenniData>
  </b:Source>
  <b:Source>
    <b:Tag>GilardiF23</b:Tag>
    <b:SourceType>JournalArticle</b:SourceType>
    <b:Guid>{bf3c0561-b213-4c8c-a322-3289a6f23f69}</b:Guid>
    <b:Title>ChatGPT outperforms crowd workers for text-annotation tasks</b:Title>
    <b:Year>2023</b:Year>
    <b:JournalName>Proceedings of the National Academy of Sciences</b:JournalName>
    <b:BookTitle>Proceedings of the National Academy of Sciences</b:BookTitle>
    <b:Volume>120</b:Volume>
    <b:Issue>30</b:Issue>
    <b:Publisher>National Academy of Sciences</b:Publisher>
    <b:URL>https://doi.org/10.1073/pnas.2305016120</b:URL>
    <b:DOI>10.1073/pnas.2305016120</b:DOI>
    <b:Author>
      <b:Author>
        <b:NameList>
          <b:Person>
            <b:Last>Gilardi</b:Last>
            <b:First>Fabrizio</b:First>
          </b:Person>
          <b:Person>
            <b:Last>Alizadeh</b:Last>
            <b:First>Meysam</b:First>
          </b:Person>
          <b:Person>
            <b:Last>Kubli</b:Last>
            <b:First>Maël</b:First>
          </b:Person>
        </b:NameList>
      </b:Author>
    </b:Author>
    <b:JenniData>z: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</b:JenniData>
  </b:Source>
</b:Sources>
</file>

<file path=customXml/itemProps1.xml><?xml version="1.0" encoding="utf-8"?>
<ds:datastoreItem xmlns:ds="http://schemas.openxmlformats.org/officeDocument/2006/customXml" ds:itemID="{6b2098e6-7e03-4b90-8ea4-0ae956408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Transformer Modellerinin Karşılaştırılması Ve Yeni Bir Model Geliştirilmesi</dc:title>
  <dc:creator>serkan KAYMAK</dc:creator>
  <cp:lastModifiedBy>Un-named</cp:lastModifiedBy>
  <cp:revision>1</cp:revision>
  <dcterms:created xsi:type="dcterms:W3CDTF">2026-09-10T18:12:30.635Z</dcterms:created>
  <dcterms:modified xsi:type="dcterms:W3CDTF">2026-09-10T18:12:30.635Z</dcterms:modified>
</cp:coreProperties>
</file>

<file path=docProps/custom.xml><?xml version="1.0" encoding="utf-8"?>
<Properties xmlns="http://schemas.openxmlformats.org/officeDocument/2006/custom-properties" xmlns:vt="http://schemas.openxmlformats.org/officeDocument/2006/docPropsVTypes"/>
</file>