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Pr>
        <w:spacing w:line="360" w:lineRule="auto" w:after="120"/>
        <w:jc w:val="both"/>
      </w:pPr>
    </w:p>
    <w:p>
      <w:pPr>
        <w:spacing w:line="360" w:lineRule="auto" w:after="120"/>
        <w:jc w:val="both"/>
      </w:pPr>
    </w:p>
    <w:p>
      <w:pPr>
        <w:spacing w:line="360" w:lineRule="auto" w:after="120"/>
        <w:ind w:firstLine="720"/>
        <w:jc w:val="both"/>
      </w:pPr>
      <w:r>
        <w:rPr>
          <w:rFonts w:ascii="Times New Roman" w:hAnsi="Times New Roman"/>
          <w:b/>
          <w:sz w:val="28"/>
        </w:rPr>
        <w:t>[ÜNİVERSİTE ADI]</w:t>
      </w:r>
    </w:p>
    <w:p>
      <w:pPr>
        <w:spacing w:line="360" w:lineRule="auto" w:after="120"/>
        <w:ind w:firstLine="720"/>
        <w:jc w:val="both"/>
      </w:pPr>
      <w:r>
        <w:rPr>
          <w:rFonts w:ascii="Times New Roman" w:hAnsi="Times New Roman"/>
          <w:b/>
          <w:sz w:val="26"/>
        </w:rPr>
        <w:t>[LİSANSÜSTÜ EĞİTİM ENSTİTÜSÜ]</w:t>
      </w:r>
    </w:p>
    <w:p>
      <w:pPr>
        <w:spacing w:line="360" w:lineRule="auto" w:after="120"/>
        <w:jc w:val="both"/>
      </w:pPr>
    </w:p>
    <w:p>
      <w:pPr>
        <w:spacing w:line="360" w:lineRule="auto" w:after="120"/>
        <w:jc w:val="both"/>
      </w:pPr>
    </w:p>
    <w:p>
      <w:pPr>
        <w:spacing w:line="360" w:lineRule="auto" w:after="120"/>
        <w:jc w:val="both"/>
      </w:pPr>
    </w:p>
    <w:p>
      <w:pPr>
        <w:spacing w:line="360" w:lineRule="auto" w:after="120"/>
        <w:ind w:firstLine="720"/>
        <w:jc w:val="center"/>
      </w:pPr>
      <w:r>
        <w:t>FİNANSAL DUYGU ANALİZİNDE MODEL GENELLEMESİ: FİNBERT VE İNCE AYARLI TRANSFORMER MODELLERİNİN KARŞILAŞTIRMALI İNCELENMESİ</w:t>
      </w:r>
    </w:p>
    <w:p>
      <w:pPr>
        <w:spacing w:line="360" w:lineRule="auto" w:after="120"/>
        <w:jc w:val="both"/>
      </w:pPr>
    </w:p>
    <w:p>
      <w:pPr>
        <w:spacing w:line="360" w:lineRule="auto" w:after="120"/>
        <w:jc w:val="both"/>
      </w:pPr>
    </w:p>
    <w:p>
      <w:pPr>
        <w:spacing w:line="360" w:lineRule="auto" w:after="120"/>
        <w:jc w:val="both"/>
      </w:pPr>
    </w:p>
    <w:p>
      <w:pPr>
        <w:spacing w:line="360" w:lineRule="auto" w:after="120"/>
        <w:ind w:firstLine="720"/>
        <w:jc w:val="both"/>
      </w:pPr>
      <w:r>
        <w:rPr>
          <w:rFonts w:ascii="Times New Roman" w:hAnsi="Times New Roman"/>
          <w:b/>
          <w:sz w:val="26"/>
        </w:rPr>
        <w:t>YÜKSEK LİSANS TEZİ</w:t>
      </w:r>
    </w:p>
    <w:p>
      <w:pPr>
        <w:spacing w:line="360" w:lineRule="auto" w:after="120"/>
        <w:ind w:firstLine="720"/>
        <w:jc w:val="both"/>
      </w:pPr>
      <w:r>
        <w:rPr>
          <w:rFonts w:ascii="Times New Roman" w:hAnsi="Times New Roman"/>
          <w:sz w:val="24"/>
        </w:rPr>
        <w:t>[AD SOYAD]</w:t>
      </w:r>
    </w:p>
    <w:p>
      <w:pPr>
        <w:spacing w:line="360" w:lineRule="auto" w:after="120"/>
        <w:ind w:firstLine="720"/>
        <w:jc w:val="both"/>
      </w:pPr>
      <w:r>
        <w:rPr>
          <w:rFonts w:ascii="Times New Roman" w:hAnsi="Times New Roman"/>
          <w:sz w:val="24"/>
        </w:rPr>
        <w:t>[ANABİLİM DALI]</w:t>
      </w:r>
    </w:p>
    <w:p>
      <w:pPr>
        <w:spacing w:line="360" w:lineRule="auto" w:after="120"/>
        <w:ind w:firstLine="720"/>
        <w:jc w:val="both"/>
      </w:pPr>
      <w:r>
        <w:rPr>
          <w:rFonts w:ascii="Times New Roman" w:hAnsi="Times New Roman"/>
          <w:sz w:val="24"/>
        </w:rPr>
        <w:t>Danışman: [UNVAN AD SOYAD]</w:t>
      </w:r>
    </w:p>
    <w:p>
      <w:pPr>
        <w:spacing w:line="360" w:lineRule="auto" w:after="120"/>
        <w:jc w:val="both"/>
      </w:pPr>
    </w:p>
    <w:p>
      <w:pPr>
        <w:spacing w:line="360" w:lineRule="auto" w:after="120"/>
        <w:jc w:val="both"/>
      </w:pPr>
    </w:p>
    <w:p>
      <w:pPr>
        <w:spacing w:line="360" w:lineRule="auto" w:after="120"/>
        <w:jc w:val="both"/>
      </w:pPr>
    </w:p>
    <w:p>
      <w:pPr>
        <w:spacing w:line="360" w:lineRule="auto" w:after="120"/>
        <w:ind w:firstLine="720"/>
        <w:jc w:val="both"/>
      </w:pPr>
      <w:r>
        <w:rPr>
          <w:rFonts w:ascii="Times New Roman" w:hAnsi="Times New Roman"/>
          <w:sz w:val="24"/>
        </w:rPr>
        <w:t>2026</w:t>
      </w:r>
    </w:p>
    <w:p>
      <w:pPr>
        <w:spacing w:line="360" w:lineRule="auto" w:after="120"/>
        <w:jc w:val="both"/>
      </w:pPr>
      <w:r>
        <w:rPr>
          <w:rFonts w:ascii="Times New Roman" w:hAnsi="Times New Roman"/>
          <w:sz w:val="24"/>
        </w:rPr>
        <w:br w:type="page"/>
      </w:r>
    </w:p>
    <w:p>
      <w:pPr>
        <w:pStyle w:val="Heading1"/>
        <w:spacing w:before="240" w:after="120"/>
      </w:pPr>
      <w:r>
        <w:rPr>
          <w:rFonts w:ascii="Times New Roman" w:hAnsi="Times New Roman"/>
        </w:rPr>
        <w:t>ÖZET</w:t>
      </w:r>
    </w:p>
    <w:p>
      <w:pPr>
        <w:spacing w:line="360" w:lineRule="auto" w:after="120"/>
        <w:ind w:firstLine="720"/>
        <w:jc w:val="both"/>
      </w:pPr>
      <w:r>
        <w:t>Bu tez çalışmasında finansal metinlerin olumlu, tarafsız ve olumsuz olarak sınıflandırılması problemi; alan odaklı bir dil modeli olan FinBERT ile genel amaçlı Transformer modellerinin hedef veri setine özgü ince ayarlı sürümleri aracılığıyla karşılaştırmalı olarak incelenmiştir. Çalışmanın temel amacı, finans alanında önceden eğitilmiş bir model kullanmanın mı, hedef veri setine özgü ince ayar gerçekleştirmenin mi daha belirleyici olduğunu ve iç test başarısının farklı finansal metin kaynaklarına ne ölçüde genellenebildiğini ortaya koymaktır.</w:t>
      </w:r>
    </w:p>
    <w:p>
      <w:pPr>
        <w:spacing w:line="360" w:lineRule="auto" w:after="120"/>
        <w:ind w:firstLine="720"/>
        <w:jc w:val="both"/>
      </w:pPr>
      <w:r>
        <w:t>Ana veri seti üzerinde hazır ProsusAI/FinBERT modeli eğitim yapılmadan temel model olarak değerlendirilmiş; BERT-base-uncased, DistilBERT-base-uncased ve RoBERTa-base modelleri aynı sınıflandırma görevi için ince ayarlanmıştır. Modeller ayrıca bağımsız S&amp;P 500 haber başlıkları, 3.000 örnekten oluşan sentetik finansal haber veri seti ve 5.000 örnekten oluşan Reuters anotasyon seti üzerinde test edilmiştir. Etiketli eğitim verisi kullanılmadığında elde edilebilecek başlangıç performansını incelemek amacıyla BART-MNLI ve farklı NLI model aileleriyle tamamlayıcı/keşifsel sıfır örnekli deneyler de yürütülmüştür. Temel değerlendirme ölçütü olarak sınıf dengesizliğine karşı daha açıklayıcı olan makro F1 değeri benimsenmiştir.</w:t>
      </w:r>
    </w:p>
    <w:p>
      <w:pPr>
        <w:spacing w:line="360" w:lineRule="auto" w:after="120"/>
        <w:ind w:firstLine="720"/>
        <w:jc w:val="both"/>
      </w:pPr>
      <w:r>
        <w:rPr>
          <w:rFonts w:ascii="Times New Roman" w:hAnsi="Times New Roman"/>
          <w:sz w:val="24"/>
        </w:rPr>
        <w:t>İç testte RoBERTa-base 0,8906 doğruluk ve 0,8651 makro F1 ile en iyi sonucu elde etmiş; BERT ve DistilBERT modelleri de hazır FinBERT'in 0,6794 makro F1 sonucunu belirgin biçimde aşmıştır. Bağımsız S&amp;P 500 testinde RoBERTa 0,8138 makro F1 ile yine en başarılı model olmuştur. Buna karşılık Reuters testinde hazır FinBERT 0,6866 makro F1 ile ince ayarlı genel amaçlı modelleri geçmiştir. Sentetik veri setindeki çok yüksek performansların gerçek veri genellemesini doğrudan temsil etmediği görülmüştür. Bulgular, model başarısının yalnızca mimari veya alan ön eğitimiyle açıklanamayacağını; veri kaynağı, metin türü ve etiketleme şemasının belirleyici olduğunu göstermektedir.</w:t>
      </w:r>
    </w:p>
    <w:p>
      <w:pPr>
        <w:spacing w:line="360" w:lineRule="auto" w:after="120"/>
        <w:ind w:firstLine="720"/>
        <w:jc w:val="both"/>
      </w:pPr>
      <w:r>
        <w:t>Anahtar Kelimeler: finansal duygu analizi, FinBERT, BERT, RoBERTa, DistilBERT, ince ayar, model genellemesi, alan kayması, Transformer</w:t>
      </w:r>
    </w:p>
    <w:p>
      <w:pPr>
        <w:pStyle w:val="Heading1"/>
        <w:spacing w:before="240" w:after="120"/>
      </w:pPr>
      <w:r>
        <w:rPr>
          <w:rFonts w:ascii="Times New Roman" w:hAnsi="Times New Roman"/>
        </w:rPr>
        <w:t>ABSTRACT</w:t>
      </w:r>
    </w:p>
    <w:p>
      <w:pPr>
        <w:spacing w:line="360" w:lineRule="auto" w:after="120"/>
        <w:ind w:firstLine="720"/>
        <w:jc w:val="both"/>
      </w:pPr>
      <w:r>
        <w:t>This thesis comparatively investigates financial text sentiment classification using FinBERT and target-dataset-fine-tuned general-purpose Transformer models. The study aims to determine whether finance-domain pretraining or dataset-specific fine-tuning is more influential and to examine how well internal test performance generalizes to financial texts from different sources.</w:t>
      </w:r>
    </w:p>
    <w:p>
      <w:pPr>
        <w:spacing w:line="360" w:lineRule="auto" w:after="120"/>
        <w:ind w:firstLine="720"/>
        <w:jc w:val="both"/>
      </w:pPr>
      <w:r>
        <w:t>ProsusAI/FinBERT was evaluated as an off-the-shelf baseline, while BERT-base-uncased, DistilBERT-base-uncased, and RoBERTa-base were fine-tuned for three-class sentiment classification. The models were further evaluated on an independent S&amp;P 500 headline set, a synthetic financial news set containing 3,000 samples, and a Reuters annotation set containing 5,000 samples. As a supplementary exploratory analysis, NLI-based zero-shot models were evaluated on the S&amp;P 500 set to estimate the performance obtainable without task-specific labelled training data. Macro-F1 was selected as the primary metric because of class imbalance.</w:t>
      </w:r>
    </w:p>
    <w:p>
      <w:pPr>
        <w:spacing w:line="360" w:lineRule="auto" w:after="120"/>
        <w:ind w:firstLine="720"/>
        <w:jc w:val="both"/>
      </w:pPr>
      <w:r>
        <w:rPr>
          <w:rFonts w:ascii="Times New Roman" w:hAnsi="Times New Roman"/>
          <w:sz w:val="24"/>
        </w:rPr>
        <w:t>RoBERTa-base achieved the best internal-test result with 0.8906 accuracy and 0.8651 macro-F1. It also ranked first on the S&amp;P 500 external test with 0.8138 macro-F1. In contrast, the original FinBERT obtained the best result on Reuters with 0.6866 macro-F1. These findings indicate that model performance depends on the source distribution, text genre, and annotation scheme rather than solely on model architecture or domain-specific pretraining.</w:t>
      </w:r>
    </w:p>
    <w:p>
      <w:pPr>
        <w:spacing w:line="360" w:lineRule="auto" w:after="120"/>
        <w:ind w:firstLine="720"/>
        <w:jc w:val="both"/>
      </w:pPr>
      <w:r>
        <w:t>Keywords: financial sentiment analysis, FinBERT, BERT, RoBERTa, DistilBERT, fine-tuning, model generalization, domain shift</w:t>
      </w:r>
    </w:p>
    <w:p>
      <w:pPr>
        <w:spacing w:line="360" w:lineRule="auto" w:after="120"/>
        <w:jc w:val="both"/>
      </w:pPr>
      <w:r>
        <w:rPr>
          <w:rFonts w:ascii="Times New Roman" w:hAnsi="Times New Roman"/>
          <w:sz w:val="24"/>
        </w:rPr>
        <w:br w:type="page"/>
      </w:r>
    </w:p>
    <w:p>
      <w:pPr>
        <w:pStyle w:val="Heading1"/>
        <w:spacing w:before="240" w:after="120"/>
      </w:pPr>
      <w:r>
        <w:rPr>
          <w:rFonts w:ascii="Times New Roman" w:hAnsi="Times New Roman"/>
        </w:rPr>
        <w:t>İÇİNDEKİLER</w:t>
      </w:r>
    </w:p>
    <w:p>
      <w:pPr>
        <w:spacing w:line="360" w:lineRule="auto" w:after="120"/>
        <w:jc w:val="both"/>
      </w:pPr>
      <w:r>
        <w:rPr>
          <w:rFonts w:ascii="Times New Roman" w:hAnsi="Times New Roman"/>
          <w:sz w:val="24"/>
        </w:rPr>
        <w:fldChar w:fldCharType="begin"/>
        <w:instrText xml:space="preserve">TOC \o "1-3" \h \z \u</w:instrText>
        <w:fldChar w:fldCharType="separate">
          <w:t>İçindekiler tablosunu güncellemek için Word üzerinde sağ tıklayıp Alanı Güncelle seçeneğini kullanınız.</w:t>
        </w:fldChar>
        <w:fldChar w:fldCharType="end"/>
      </w:r>
    </w:p>
    <w:p>
      <w:pPr>
        <w:spacing w:line="360" w:lineRule="auto" w:after="120"/>
        <w:jc w:val="both"/>
      </w:pPr>
      <w:r>
        <w:rPr>
          <w:rFonts w:ascii="Times New Roman" w:hAnsi="Times New Roman"/>
          <w:sz w:val="24"/>
        </w:rPr>
        <w:br w:type="page"/>
      </w:r>
    </w:p>
    <w:p>
      <w:pPr>
        <w:pStyle w:val="Heading1"/>
        <w:spacing w:before="240" w:after="120"/>
      </w:pPr>
      <w:r>
        <w:rPr>
          <w:rFonts w:ascii="Times New Roman" w:hAnsi="Times New Roman"/>
        </w:rPr>
        <w:t>1. GİRİŞ</w:t>
      </w:r>
    </w:p>
    <w:p>
      <w:pPr>
        <w:pStyle w:val="Heading2"/>
        <w:spacing w:before="240" w:after="120"/>
      </w:pPr>
      <w:r>
        <w:rPr>
          <w:rFonts w:ascii="Times New Roman" w:hAnsi="Times New Roman"/>
        </w:rPr>
        <w:t>1.1. Problem Durumu</w:t>
      </w:r>
    </w:p>
    <w:p>
      <w:pPr>
        <w:spacing w:line="360" w:lineRule="auto" w:after="120"/>
        <w:ind w:firstLine="720"/>
        <w:jc w:val="both"/>
      </w:pPr>
      <w:r>
        <w:rPr>
          <w:rFonts w:ascii="Times New Roman" w:hAnsi="Times New Roman"/>
          <w:sz w:val="24"/>
        </w:rPr>
        <w:t>Finansal piyasalar; şirket açıklamaları, haber akışları, analist raporları, merkez bankası duyuruları ve sosyal medya mesajları gibi yoğun bir metinsel bilgi üretmektedir. Bu içeriklerin elle incelenmesi, veri hacmi ve hız nedeniyle sürdürülebilir değildir. Doğal dil işleme yöntemleri, finansal metinlerden sistematik bilgi çıkarılmasını ve metinde ifade edilen ekonomik etkinin otomatik biçimde sınıflandırılmasını mümkün kılmaktadır.</w:t>
      </w:r>
    </w:p>
    <w:p>
      <w:pPr>
        <w:spacing w:line="360" w:lineRule="auto" w:after="120"/>
        <w:ind w:firstLine="720"/>
        <w:jc w:val="both"/>
      </w:pPr>
      <w:r>
        <w:rPr>
          <w:rFonts w:ascii="Times New Roman" w:hAnsi="Times New Roman"/>
          <w:sz w:val="24"/>
        </w:rPr>
        <w:t>Finansal duygu analizi genel amaçlı duygu analizinden daha karmaşıktır. Finans dilinde olumsuz görünen bir sözcük, bağlama göre olumlu bir piyasa sinyali taşıyabilir; aynı cümlede gelir artışı ile maliyet artışı gibi zıt yönlü bilgiler birlikte bulunabilir. Ayrıca bazı veri setleri dilsel tonu, bazıları hedef şirket üzerindeki ekonomik etkiyi, bazıları ise yükseliş-düşüş beklentisini etiketlemektedir. Bu nedenle aynı positive, neutral ve negative sınıf adları altında farklı karar kuralları yer alabilmektedir.</w:t>
      </w:r>
    </w:p>
    <w:p>
      <w:pPr>
        <w:spacing w:line="360" w:lineRule="auto" w:after="120"/>
        <w:ind w:firstLine="720"/>
        <w:jc w:val="both"/>
      </w:pPr>
      <w:r>
        <w:rPr>
          <w:rFonts w:ascii="Times New Roman" w:hAnsi="Times New Roman"/>
          <w:sz w:val="24"/>
        </w:rPr>
        <w:t>BERT tabanlı modeller, bağlamsal dil temsilleri sayesinde finansal duygu analizinde geleneksel sözcük sayımı ve özellik mühendisliği yaklaşımlarına göre önemli avantajlar sağlamıştır. FinBERT gibi finans alanına uyarlanmış modeller, alan terminolojisini öğrenerek güçlü bir başlangıç noktası sunmaktadır. Bununla birlikte alan ön eğitimi, hedef veri setinin kendine özgü etiket politikasını otomatik olarak öğrenmez. Bu çalışma, söz konusu ayrımı deneysel olarak incelemektedir.</w:t>
      </w:r>
    </w:p>
    <w:p>
      <w:pPr>
        <w:pStyle w:val="Heading2"/>
        <w:spacing w:before="240" w:after="120"/>
      </w:pPr>
      <w:r>
        <w:rPr>
          <w:rFonts w:ascii="Times New Roman" w:hAnsi="Times New Roman"/>
        </w:rPr>
        <w:t>1.2. Araştırmanın Amacı</w:t>
      </w:r>
    </w:p>
    <w:p>
      <w:pPr>
        <w:spacing w:line="360" w:lineRule="auto" w:after="120"/>
        <w:ind w:firstLine="720"/>
        <w:jc w:val="both"/>
      </w:pPr>
      <w:r>
        <w:t>Bu araştırmanın temel amacı, finansal duygu sınıflandırmasında finans alanına özgü ön eğitimli hazır FinBERT modeli ile hedef veri setine özel olarak ince ayarlanan BERT, DistilBERT ve RoBERTa modellerinin sınıflandırma performanslarını ve farklı finansal metin kaynaklarına genelleme yeteneklerini karşılaştırmalı olarak incelemektir.</w:t>
      </w:r>
    </w:p>
    <w:p>
      <w:pPr>
        <w:pStyle w:val="ListBullet"/>
        <w:spacing w:line="312" w:lineRule="auto"/>
        <w:jc w:val="both"/>
      </w:pPr>
      <w:r>
        <w:t>Hazır FinBERT modelinin hedef veri setindeki temel performansını belirlemek.</w:t>
      </w:r>
    </w:p>
    <w:p>
      <w:pPr>
        <w:pStyle w:val="ListBullet"/>
        <w:spacing w:line="312" w:lineRule="auto"/>
        <w:jc w:val="both"/>
      </w:pPr>
      <w:r>
        <w:t>BERT-base, DistilBERT-base ve RoBERTa-base modellerini aynı deneysel düzen altında ince ayarlamak ve performanslarını karşılaştırmak.</w:t>
      </w:r>
    </w:p>
    <w:p>
      <w:pPr>
        <w:pStyle w:val="ListBullet"/>
        <w:spacing w:line="312" w:lineRule="auto"/>
        <w:jc w:val="both"/>
      </w:pPr>
      <w:r>
        <w:t>Modelleri iç test kümesinin yanı sıra bağımsız S&amp;P 500, Reuters ve sentetik finansal metin test alanlarında değerlendirmek.</w:t>
      </w:r>
    </w:p>
    <w:p>
      <w:pPr>
        <w:pStyle w:val="ListBullet"/>
        <w:spacing w:line="312" w:lineRule="auto"/>
        <w:jc w:val="both"/>
      </w:pPr>
      <w:r>
        <w:t>İç testte oluşan model sıralamasının farklı veri kaynaklarında korunup korunmadığını incelemek.</w:t>
      </w:r>
    </w:p>
    <w:p>
      <w:pPr>
        <w:pStyle w:val="ListBullet"/>
        <w:spacing w:line="312" w:lineRule="auto"/>
        <w:jc w:val="both"/>
      </w:pPr>
      <w:r>
        <w:t>Veri kaynağı ve etiketleme yaklaşımındaki farklılıkların, özellikle tarafsız sınıftaki hata örüntülerine etkisini analiz etmek. Etiketli eğitim verisi kullanılmadığında elde edilebilecek başlangıç performansını gözlemlemek amacıyla sıfır örnekli NLI modelleri ayrıca tamamlayıcı/keşifsel bir deney olarak değerlendirilmiştir.</w:t>
      </w:r>
    </w:p>
    <w:p>
      <w:pPr>
        <w:pStyle w:val="Heading2"/>
        <w:spacing w:before="240" w:after="120"/>
      </w:pPr>
      <w:r>
        <w:rPr>
          <w:rFonts w:ascii="Times New Roman" w:hAnsi="Times New Roman"/>
        </w:rPr>
        <w:t>1.3. Araştırma Soruları ve Hipotezler</w:t>
      </w:r>
    </w:p>
    <w:tbl>
      <w:tblPr>
        <w:tblStyle w:val="TableGrid"/>
        <w:tblW w:type="auto" w:w="0"/>
        <w:jc w:val="center"/>
        <w:tblLook w:firstColumn="1" w:firstRow="1" w:lastColumn="0" w:lastRow="0" w:noHBand="0" w:noVBand="1" w:val="04A0"/>
      </w:tblPr>
      <w:tblGrid>
        <w:gridCol w:w="4419"/>
        <w:gridCol w:w="4419"/>
      </w:tblGrid>
      <w:tr>
        <w:trPr>
          <w:tblHeader w:val="true"/>
        </w:trPr>
        <w:tc>
          <w:tcPr>
            <w:tcW w:type="dxa" w:w="1134"/>
            <w:vAlign w:val="center"/>
            <w:shd w:fill="D9EAF7"/>
          </w:tcPr>
          <w:p>
            <w:pPr>
              <w:jc w:val="center"/>
            </w:pPr>
            <w:r>
              <w:rPr>
                <w:rFonts w:ascii="Times New Roman" w:hAnsi="Times New Roman"/>
                <w:b/>
                <w:sz w:val="18"/>
              </w:rPr>
            </w:r>
            <w:r>
              <w:rPr>
                <w:rFonts w:ascii="Times New Roman" w:hAnsi="Times New Roman"/>
                <w:b/>
                <w:sz w:val="18"/>
              </w:rPr>
              <w:t>Kod</w:t>
            </w:r>
          </w:p>
        </w:tc>
        <w:tc>
          <w:tcPr>
            <w:tcW w:type="dxa" w:w="7937"/>
            <w:vAlign w:val="center"/>
            <w:shd w:fill="D9EAF7"/>
          </w:tcPr>
          <w:p>
            <w:pPr>
              <w:jc w:val="center"/>
            </w:pPr>
            <w:r>
              <w:rPr>
                <w:rFonts w:ascii="Times New Roman" w:hAnsi="Times New Roman"/>
                <w:b/>
                <w:sz w:val="18"/>
              </w:rPr>
            </w:r>
            <w:r>
              <w:rPr>
                <w:rFonts w:ascii="Times New Roman" w:hAnsi="Times New Roman"/>
                <w:b/>
                <w:sz w:val="18"/>
              </w:rPr>
              <w:t>Araştırma sorusu</w:t>
            </w:r>
          </w:p>
        </w:tc>
      </w:tr>
      <w:tr>
        <w:tc>
          <w:tcPr>
            <w:tcW w:type="dxa" w:w="1134"/>
            <w:vAlign w:val="center"/>
          </w:tcPr>
          <w:p>
            <w:r>
              <w:t>AS1</w:t>
            </w:r>
          </w:p>
        </w:tc>
        <w:tc>
          <w:tcPr>
            <w:tcW w:type="dxa" w:w="7937"/>
            <w:vAlign w:val="center"/>
          </w:tcPr>
          <w:p>
            <w:r>
              <w:t>Hedef veri setine özgü ince ayar, hazır FinBERT modeline kıyasla finansal duygu sınıflandırma performansını artırmakta mıdır?</w:t>
            </w:r>
          </w:p>
        </w:tc>
      </w:tr>
      <w:tr>
        <w:tc>
          <w:tcPr>
            <w:tcW w:type="dxa" w:w="1134"/>
            <w:vAlign w:val="center"/>
          </w:tcPr>
          <w:p>
            <w:r>
              <w:t>AS2</w:t>
            </w:r>
          </w:p>
        </w:tc>
        <w:tc>
          <w:tcPr>
            <w:tcW w:type="dxa" w:w="7937"/>
            <w:vAlign w:val="center"/>
          </w:tcPr>
          <w:p>
            <w:r>
              <w:t>Aynı veri seti ve eğitim düzeni altında ince ayarlanan BERT, DistilBERT ve RoBERTa modellerinin performansları nasıl farklılaşmaktadır?</w:t>
            </w:r>
          </w:p>
        </w:tc>
      </w:tr>
      <w:tr>
        <w:tc>
          <w:tcPr>
            <w:tcW w:type="dxa" w:w="1134"/>
            <w:vAlign w:val="center"/>
          </w:tcPr>
          <w:p>
            <w:r>
              <w:t>AS3</w:t>
            </w:r>
          </w:p>
        </w:tc>
        <w:tc>
          <w:tcPr>
            <w:tcW w:type="dxa" w:w="7937"/>
            <w:vAlign w:val="center"/>
          </w:tcPr>
          <w:p>
            <w:r>
              <w:t>İç test kümesinde en başarılı olan model, bağımsız S&amp;P 500 ve Reuters dış test kümelerinde de üstünlüğünü korumakta mıdır?</w:t>
            </w:r>
          </w:p>
        </w:tc>
      </w:tr>
      <w:tr>
        <w:tc>
          <w:tcPr>
            <w:tcW w:type="dxa" w:w="1134"/>
            <w:vAlign w:val="center"/>
          </w:tcPr>
          <w:p>
            <w:r>
              <w:t>AS4</w:t>
            </w:r>
          </w:p>
        </w:tc>
        <w:tc>
          <w:tcPr>
            <w:tcW w:type="dxa" w:w="7937"/>
            <w:vAlign w:val="center"/>
          </w:tcPr>
          <w:p>
            <w:r>
              <w:t>Veri kaynağı ve etiketleme yaklaşımındaki farklılıklar, modellerin genelleme performansını ve özellikle tarafsız sınıftaki hata örüntülerini nasıl etkilemektedir?</w:t>
            </w:r>
          </w:p>
        </w:tc>
      </w:tr>
      <w:tr>
        <w:tc>
          <w:tcPr>
            <w:tcW w:type="dxa" w:w="1134"/>
            <w:vAlign w:val="center"/>
          </w:tcPr>
          <w:p>
            <w:r>
              <w:t>AS5</w:t>
            </w:r>
          </w:p>
        </w:tc>
        <w:tc>
          <w:tcPr>
            <w:tcW w:type="dxa" w:w="7937"/>
            <w:vAlign w:val="center"/>
          </w:tcPr>
          <w:p>
            <w:r>
              <w:t>Sentetik finansal metinlerde elde edilen yüksek sınıflandırma performansı, gerçek finansal haber metinlerindeki model başarısını ne ölçüde temsil etmektedir?</w:t>
            </w:r>
          </w:p>
        </w:tc>
      </w:tr>
    </w:tbl>
    <w:p>
      <w:pPr>
        <w:spacing w:line="360" w:lineRule="auto" w:after="120"/>
        <w:jc w:val="both"/>
      </w:pPr>
    </w:p>
    <w:p>
      <w:pPr>
        <w:spacing w:line="360" w:lineRule="auto" w:after="120"/>
        <w:ind w:firstLine="720"/>
        <w:jc w:val="both"/>
      </w:pPr>
      <w:r>
        <w:t>Hipotezler; ince ayarlı modellerin iç testte FinBERT’i aşacağı, RoBERTa’nın en yüksek iç test başarısını sağlayacağı, model sıralamasının alan kayması nedeniyle tüm dış testlerde korunmayacağı, en belirgin hata örüntülerinin tarafsız sınıfta gözleneceği ve sentetik verideki performansın gerçek haber testlerinden daha yüksek olacağı yönünde oluşturulmuştur.</w:t>
      </w:r>
    </w:p>
    <w:p>
      <w:pPr>
        <w:pStyle w:val="Heading2"/>
        <w:spacing w:before="240" w:after="120"/>
      </w:pPr>
      <w:r>
        <w:rPr>
          <w:rFonts w:ascii="Times New Roman" w:hAnsi="Times New Roman"/>
        </w:rPr>
        <w:t>1.4. Araştırmanın Katkıları</w:t>
      </w:r>
    </w:p>
    <w:p>
      <w:pPr>
        <w:pStyle w:val="ListBullet"/>
        <w:spacing w:line="312" w:lineRule="auto"/>
        <w:jc w:val="both"/>
      </w:pPr>
      <w:r>
        <w:rPr>
          <w:rFonts w:ascii="Times New Roman" w:hAnsi="Times New Roman"/>
        </w:rPr>
        <w:t>Alan odaklı ön eğitim ile hedef veri setine özgü ince ayarı aynı deneysel çerçevede karşılaştırması.</w:t>
      </w:r>
    </w:p>
    <w:p>
      <w:pPr>
        <w:pStyle w:val="ListBullet"/>
        <w:spacing w:line="312" w:lineRule="auto"/>
        <w:jc w:val="both"/>
      </w:pPr>
      <w:r>
        <w:rPr>
          <w:rFonts w:ascii="Times New Roman" w:hAnsi="Times New Roman"/>
        </w:rPr>
        <w:t>İç test, yakın alan dış testi ve uzak alan dış testini birlikte değerlendirmesi.</w:t>
      </w:r>
    </w:p>
    <w:p>
      <w:pPr>
        <w:pStyle w:val="ListBullet"/>
        <w:spacing w:line="312" w:lineRule="auto"/>
        <w:jc w:val="both"/>
      </w:pPr>
      <w:r>
        <w:rPr>
          <w:rFonts w:ascii="Times New Roman" w:hAnsi="Times New Roman"/>
        </w:rPr>
        <w:t>S&amp;P 500 ve Reuters gibi farklı haber biçimlerinde model sıralamasının değiştiğini göstermesi.</w:t>
      </w:r>
    </w:p>
    <w:p>
      <w:pPr>
        <w:pStyle w:val="ListBullet"/>
        <w:spacing w:line="312" w:lineRule="auto"/>
        <w:jc w:val="both"/>
      </w:pPr>
      <w:r>
        <w:rPr>
          <w:rFonts w:ascii="Times New Roman" w:hAnsi="Times New Roman"/>
        </w:rPr>
        <w:t>Etiket semantiği uyuşmazlığını, yalnızca model hatası olarak değil veri seti tasarımı problemi olarak tartışması.</w:t>
      </w:r>
    </w:p>
    <w:p>
      <w:pPr>
        <w:pStyle w:val="ListBullet"/>
        <w:spacing w:line="312" w:lineRule="auto"/>
        <w:jc w:val="both"/>
      </w:pPr>
      <w:r>
        <w:rPr>
          <w:rFonts w:ascii="Times New Roman" w:hAnsi="Times New Roman"/>
        </w:rPr>
        <w:t>Sentetik test sonuçlarının gerçek dünya genellemesi için dikkatli yorumlanması gerektiğine ilişkin kanıt sunması.</w:t>
      </w:r>
    </w:p>
    <w:p>
      <w:pPr>
        <w:pStyle w:val="Heading2"/>
        <w:spacing w:before="240" w:after="120"/>
      </w:pPr>
      <w:r>
        <w:rPr>
          <w:rFonts w:ascii="Times New Roman" w:hAnsi="Times New Roman"/>
        </w:rPr>
        <w:t>1.5. Sınırlılıklar</w:t>
      </w:r>
    </w:p>
    <w:p>
      <w:pPr>
        <w:spacing w:line="360" w:lineRule="auto" w:after="120"/>
        <w:ind w:firstLine="720"/>
        <w:jc w:val="both"/>
      </w:pPr>
      <w:r>
        <w:rPr>
          <w:rFonts w:ascii="Times New Roman" w:hAnsi="Times New Roman"/>
          <w:sz w:val="24"/>
        </w:rPr>
        <w:t>Çalışma İngilizce finansal metinlerle ve üç sınıflı düz duygu şemasıyla sınırlıdır. Reuters anotasyonlarında insan değerlendirmesini desteklemek üzere model yardımı kullanılmış olması etiket bağımsızlığını sınırlayabilir. Sentetik veri seti gerçek veri çeşitliliğini bütünüyle temsil etmemektedir. İstatistiksel anlamlılık testleri, hesaplama maliyeti ölçümleri ve birden fazla rastgele tohumla tekrarlar tez tesliminden önce eklenmelidir.</w:t>
      </w:r>
    </w:p>
    <w:p>
      <w:pPr>
        <w:pStyle w:val="Heading1"/>
        <w:spacing w:before="240" w:after="120"/>
      </w:pPr>
      <w:r>
        <w:rPr>
          <w:rFonts w:ascii="Times New Roman" w:hAnsi="Times New Roman"/>
        </w:rPr>
        <w:t>2. KURAMSAL ÇERÇEVE VE LİTERATÜR</w:t>
      </w:r>
    </w:p>
    <w:p>
      <w:pPr>
        <w:pStyle w:val="Heading2"/>
        <w:spacing w:before="240" w:after="120"/>
      </w:pPr>
      <w:r>
        <w:rPr>
          <w:rFonts w:ascii="Times New Roman" w:hAnsi="Times New Roman"/>
        </w:rPr>
        <w:t>2.1. Finansal Duygu Analizi</w:t>
      </w:r>
    </w:p>
    <w:p>
      <w:pPr>
        <w:spacing w:line="360" w:lineRule="auto" w:after="120"/>
        <w:ind w:firstLine="720"/>
        <w:jc w:val="both"/>
      </w:pPr>
      <w:r>
        <w:rPr>
          <w:rFonts w:ascii="Times New Roman" w:hAnsi="Times New Roman"/>
          <w:sz w:val="24"/>
        </w:rPr>
        <w:t>Duygu analizi, metinde ifade edilen değerlendirme veya yönelimin belirlenmesini amaçlar. Finans alanında amaç yalnızca yazarın duygusal tonunu tespit etmek değildir; haberin bir şirket, varlık veya piyasa üzerindeki olası etkisini sınıflandırmak da önemlidir. Bu nedenle finansal duygu analizi, genel ürün yorumu analizinden farklı bir hedef semantiğine sahiptir.</w:t>
      </w:r>
    </w:p>
    <w:p>
      <w:pPr>
        <w:spacing w:line="360" w:lineRule="auto" w:after="120"/>
        <w:ind w:firstLine="720"/>
        <w:jc w:val="both"/>
      </w:pPr>
      <w:r>
        <w:rPr>
          <w:rFonts w:ascii="Times New Roman" w:hAnsi="Times New Roman"/>
          <w:sz w:val="24"/>
        </w:rPr>
        <w:t>Erken dönem araştırmalar finansal sözlükler, n-gramlar, destek vektör makineleri ve lojistik regresyon üzerinde yoğunlaşmıştır. Loughran ve McDonald tarafından geliştirilen finans sözlüğü, genel sözlüklerde olumsuz kabul edilen birçok kelimenin finansal raporlarda farklı işlevlere sahip olduğunu göstermiştir. Bununla birlikte sözlük yaklaşımları sözcük sırası, olumsuzlama, hedef varlık ve karışık bilgi gibi bağlamsal unsurları sınırlı biçimde temsil etmektedir.</w:t>
      </w:r>
    </w:p>
    <w:p>
      <w:pPr>
        <w:pStyle w:val="Heading2"/>
        <w:spacing w:before="240" w:after="120"/>
      </w:pPr>
      <w:r>
        <w:rPr>
          <w:rFonts w:ascii="Times New Roman" w:hAnsi="Times New Roman"/>
        </w:rPr>
        <w:t>2.2. Transformer ve BERT</w:t>
      </w:r>
    </w:p>
    <w:p>
      <w:pPr>
        <w:spacing w:line="360" w:lineRule="auto" w:after="120"/>
        <w:ind w:firstLine="720"/>
        <w:jc w:val="both"/>
      </w:pPr>
      <w:r>
        <w:rPr>
          <w:rFonts w:ascii="Times New Roman" w:hAnsi="Times New Roman"/>
          <w:sz w:val="24"/>
        </w:rPr>
        <w:t>Transformer mimarisi, tekrarlayan ağlara ihtiyaç duymadan öz-dikkat mekanizmasıyla uzun bağlam ilişkilerini modellemektedir. Devlin ve arkadaşlarının geliştirdiği BERT, maskeli dil modelleme yoluyla çift yönlü bağlamsal temsiller öğrenmiş ve sınıflandırma görevlerine az miktarda görev-özel katmanla uyarlanabilmiştir (Devlin vd., 2019).</w:t>
      </w:r>
    </w:p>
    <w:p>
      <w:pPr>
        <w:spacing w:line="360" w:lineRule="auto" w:after="120"/>
        <w:ind w:firstLine="720"/>
        <w:jc w:val="both"/>
      </w:pPr>
      <w:r>
        <w:rPr>
          <w:rFonts w:ascii="Times New Roman" w:hAnsi="Times New Roman"/>
          <w:sz w:val="24"/>
        </w:rPr>
        <w:t>BERT'in finansal duygu analizindeki temel avantajı, bir sözcüğün anlamını cümlenin geri kalanına göre temsil edebilmesidir. Bununla birlikte genel amaçlı ön eğitim verisi finans terminolojisini sınırlı ölçüde içerdiğinden, alan uyarlaması ve hedef görev ince ayarı önem kazanmaktadır.</w:t>
      </w:r>
    </w:p>
    <w:p>
      <w:pPr>
        <w:pStyle w:val="Heading2"/>
        <w:spacing w:before="240" w:after="120"/>
      </w:pPr>
      <w:r>
        <w:rPr>
          <w:rFonts w:ascii="Times New Roman" w:hAnsi="Times New Roman"/>
        </w:rPr>
        <w:t>2.3. FinBERT ve Alan Odaklı Ön Eğitim</w:t>
      </w:r>
    </w:p>
    <w:p>
      <w:pPr>
        <w:spacing w:line="360" w:lineRule="auto" w:after="120"/>
        <w:ind w:firstLine="720"/>
        <w:jc w:val="both"/>
      </w:pPr>
      <w:r>
        <w:rPr>
          <w:rFonts w:ascii="Times New Roman" w:hAnsi="Times New Roman"/>
          <w:sz w:val="24"/>
        </w:rPr>
        <w:t>Araci (2019), genel BERT modelini finansal metinlerde devam eden ön eğitim ve görev-özel ince ayar yoluyla FinBERT'e dönüştürmüş; Financial PhraseBank ve FiQA üzerinde güçlü sonuçlar raporlamıştır. Yang, Uy ve Huang (2020) ise büyük ölçekli finansal iletişim metinleriyle ön eğitilen farklı bir FinBERT sürümü sunmuştur.</w:t>
      </w:r>
    </w:p>
    <w:p>
      <w:pPr>
        <w:spacing w:line="360" w:lineRule="auto" w:after="120"/>
        <w:ind w:firstLine="720"/>
        <w:jc w:val="both"/>
      </w:pPr>
      <w:r>
        <w:rPr>
          <w:rFonts w:ascii="Times New Roman" w:hAnsi="Times New Roman"/>
          <w:sz w:val="24"/>
        </w:rPr>
        <w:t>FinBERT'in başarısı finans dilinin özel dağılımına uyarlanmasından kaynaklanmaktadır. Ancak finansal alan tek bir homojen metin türünden oluşmaz. Kurumsal rapor, Reuters haberi, kısa piyasa başlığı ve sosyal medya mesajı arasında belirgin dağılım farkları bulunur. Ayrıca alan ön eğitimi, hedef veri setinin hangi koşullarda neutral etiketi verdiğini öğretmez. Bu nedenle hazır FinBERT ile hedef veri setine özgü ince ayarlı modellerin karşılaştırılması gereklidir.</w:t>
      </w:r>
    </w:p>
    <w:p>
      <w:pPr>
        <w:pStyle w:val="Heading2"/>
        <w:spacing w:before="240" w:after="120"/>
      </w:pPr>
      <w:r>
        <w:rPr>
          <w:rFonts w:ascii="Times New Roman" w:hAnsi="Times New Roman"/>
        </w:rPr>
        <w:t>2.4. RoBERTa ve DistilBERT</w:t>
      </w:r>
    </w:p>
    <w:p>
      <w:pPr>
        <w:spacing w:line="360" w:lineRule="auto" w:after="120"/>
        <w:ind w:firstLine="720"/>
        <w:jc w:val="both"/>
      </w:pPr>
      <w:r>
        <w:rPr>
          <w:rFonts w:ascii="Times New Roman" w:hAnsi="Times New Roman"/>
          <w:sz w:val="24"/>
        </w:rPr>
        <w:t>RoBERTa, BERT ön eğitim prosedürünü daha fazla veri, dinamik maskeleme, daha büyük mini-batch ve sonraki cümle tahmini görevinin kaldırılması gibi değişikliklerle optimize etmiştir (Liu vd., 2019). Genel amaçlı bir model olmasına rağmen güçlü dil temsilleri, hedef veri setine ince ayar uygulandığında alan odaklı bir modeli geçebilmesini mümkün kılabilir.</w:t>
      </w:r>
    </w:p>
    <w:p>
      <w:pPr>
        <w:spacing w:line="360" w:lineRule="auto" w:after="120"/>
        <w:ind w:firstLine="720"/>
        <w:jc w:val="both"/>
      </w:pPr>
      <w:r>
        <w:rPr>
          <w:rFonts w:ascii="Times New Roman" w:hAnsi="Times New Roman"/>
          <w:sz w:val="24"/>
        </w:rPr>
        <w:t>DistilBERT, bilgi damıtma yoluyla BERT'in daha küçük ve hızlı bir sürümünü sunar (Sanh vd., 2019). Bu modelin değerlendirilmesi, yalnızca en yüksek doğruluğun değil, model boyutu ve çıkarım maliyeti ile performans arasındaki dengenin de tartışılmasını sağlar.</w:t>
      </w:r>
    </w:p>
    <w:p>
      <w:pPr>
        <w:pStyle w:val="Heading2"/>
        <w:spacing w:before="240" w:after="120"/>
      </w:pPr>
      <w:r>
        <w:t>2.5. Tamamlayıcı Yaklaşım: Sıfır Örnekli Sınıflandırma</w:t>
      </w:r>
    </w:p>
    <w:p>
      <w:pPr>
        <w:spacing w:line="360" w:lineRule="auto" w:after="120"/>
        <w:ind w:firstLine="720"/>
        <w:jc w:val="both"/>
      </w:pPr>
      <w:r>
        <w:t>Sıfır örnekli sınıflandırma, hedef göreve ait etiketli eğitim örnekleri olmadan tahmin yapılmasını amaçlar. NLI tabanlı yaklaşımda metin bir öncül, sınıf açıklaması ise hipotez olarak sunulur. BART-MNLI gibi modeller, metnin “positive financial sentiment” gibi bir hipotezi destekleyip desteklemediğine göre sınıf üretir. Bu çalışmada sıfır örnekli yaklaşım, temel araştırma hipotezlerini sınayan ana model grubu olarak değil, etiketli eğitim verisi bulunmadığında elde edilebilecek başlangıç performansını gözlemleyen tamamlayıcı/keşifsel bir analiz olarak kullanılmıştır.</w:t>
      </w:r>
    </w:p>
    <w:p>
      <w:pPr>
        <w:spacing w:line="360" w:lineRule="auto" w:after="120"/>
        <w:ind w:firstLine="720"/>
        <w:jc w:val="both"/>
      </w:pPr>
      <w:r>
        <w:rPr>
          <w:rFonts w:ascii="Times New Roman" w:hAnsi="Times New Roman"/>
          <w:sz w:val="24"/>
        </w:rPr>
        <w:t>Yaklaşımın avantajı yeni bir veri setinde eğitim maliyeti olmaksızın temel sonuç sağlayabilmesidir. Buna karşılık hipotez şablonu, sınıf açıklamalarının sözcük seçimi ve alan bilgisi eksikliği performansı önemli ölçüde etkiler. Bu nedenle sıfır örnekli sonuçlar, denetimli ince ayarlı modellerle aynı bağlamda ancak farklı maliyet yapısıyla değerlendirilmelidir.</w:t>
      </w:r>
    </w:p>
    <w:p>
      <w:pPr>
        <w:pStyle w:val="Heading2"/>
        <w:spacing w:before="240" w:after="120"/>
      </w:pPr>
      <w:r>
        <w:rPr>
          <w:rFonts w:ascii="Times New Roman" w:hAnsi="Times New Roman"/>
        </w:rPr>
        <w:t>2.6. Veri Setleri ve Etiket Semantiği</w:t>
      </w:r>
    </w:p>
    <w:p>
      <w:pPr>
        <w:spacing w:line="360" w:lineRule="auto" w:after="120"/>
        <w:ind w:firstLine="720"/>
        <w:jc w:val="both"/>
      </w:pPr>
      <w:r>
        <w:rPr>
          <w:rFonts w:ascii="Times New Roman" w:hAnsi="Times New Roman"/>
          <w:sz w:val="24"/>
        </w:rPr>
        <w:t>Financial PhraseBank, uzmanlar tarafından etiketlenen finans haber cümleleriyle alanın temel veri setlerinden biridir (Malo vd., 2014). FiQA, finansal metinlerde duygu puanı ve hedef bilgisi sunmaktadır. Twitter Financial News Sentiment gibi kısa metin veri setleri ise piyasa yönüne daha yakın bir etiketleme mantığı taşıyabilir.</w:t>
      </w:r>
    </w:p>
    <w:p>
      <w:pPr>
        <w:spacing w:line="360" w:lineRule="auto" w:after="120"/>
        <w:ind w:firstLine="720"/>
        <w:jc w:val="both"/>
      </w:pPr>
      <w:r>
        <w:rPr>
          <w:rFonts w:ascii="Times New Roman" w:hAnsi="Times New Roman"/>
          <w:sz w:val="24"/>
        </w:rPr>
        <w:t>Aynı sınıf adlarının farklı veri setlerinde farklı anlamlara sahip olması karşılaştırmaların temel sorunlarından biridir. Bir haber dilsel olarak olumsuz ifadeler içerse bile açık yatırım yönü bulunmadığında neutral olarak etiketlenebilir. Tersine beklentiden daha düşük bir kayıp, yüzeysel olumsuz sözcüklere rağmen olumlu etki taşıyabilir.</w:t>
      </w:r>
    </w:p>
    <w:p>
      <w:pPr>
        <w:pStyle w:val="Heading2"/>
        <w:spacing w:before="240" w:after="120"/>
      </w:pPr>
      <w:r>
        <w:rPr>
          <w:rFonts w:ascii="Times New Roman" w:hAnsi="Times New Roman"/>
        </w:rPr>
        <w:t>2.7. Alan Kayması ve Dış Test</w:t>
      </w:r>
    </w:p>
    <w:p>
      <w:pPr>
        <w:spacing w:line="360" w:lineRule="auto" w:after="120"/>
        <w:ind w:firstLine="720"/>
        <w:jc w:val="both"/>
      </w:pPr>
      <w:r>
        <w:rPr>
          <w:rFonts w:ascii="Times New Roman" w:hAnsi="Times New Roman"/>
          <w:sz w:val="24"/>
        </w:rPr>
        <w:t>Alan kayması, eğitim ve test dağılımlarının farklılaşmasıdır. Finansal duygu analizinde kaynak kuruluş, dönem, uzunluk, şirket sektörü ve anotasyon politikası alan kaymasına neden olabilir. Rastgele iç test ayrımı, aynı veri setine özgü kalıpların öğrenilmesi nedeniyle gerçek genellemeyi olduğundan yüksek gösterebilir.</w:t>
      </w:r>
    </w:p>
    <w:p>
      <w:pPr>
        <w:spacing w:line="360" w:lineRule="auto" w:after="120"/>
        <w:ind w:firstLine="720"/>
        <w:jc w:val="both"/>
      </w:pPr>
      <w:r>
        <w:rPr>
          <w:rFonts w:ascii="Times New Roman" w:hAnsi="Times New Roman"/>
          <w:sz w:val="24"/>
        </w:rPr>
        <w:t>Bu tezde S&amp;P 500 haber başlıkları yakın alan dış testi, Reuters anotasyon seti ise daha uzak alan dış testi olarak değerlendirilmiştir. Böylece modelin yalnızca hedef veri setindeki başarısı değil, farklı finansal haber biçimlerine aktarılabilirliği incelenmiştir.</w:t>
      </w:r>
    </w:p>
    <w:p>
      <w:pPr>
        <w:pStyle w:val="Heading2"/>
        <w:spacing w:before="240" w:after="120"/>
      </w:pPr>
      <w:r>
        <w:rPr>
          <w:rFonts w:ascii="Times New Roman" w:hAnsi="Times New Roman"/>
        </w:rPr>
        <w:t>2.8. Literatürün Sentezi ve Araştırma Boşluğu</w:t>
      </w:r>
    </w:p>
    <w:p>
      <w:pPr>
        <w:spacing w:line="360" w:lineRule="auto" w:after="120"/>
        <w:ind w:firstLine="720"/>
        <w:jc w:val="both"/>
      </w:pPr>
      <w:r>
        <w:rPr>
          <w:rFonts w:ascii="Times New Roman" w:hAnsi="Times New Roman"/>
          <w:sz w:val="24"/>
        </w:rPr>
        <w:t>Literatür finansal alan ön eğitiminin yararını, genel amaçlı Transformer modellerinin güçlü ince ayar performansını ve sıfır örnekli sınıflandırmanın esnekliğini ayrı ayrı ortaya koymaktadır. Bununla birlikte bu üç yaklaşımı aynı deney düzeninde ve birden fazla bağımsız dış testte karşılaştıran çalışmalar sınırlıdır.</w:t>
      </w:r>
    </w:p>
    <w:p>
      <w:pPr>
        <w:spacing w:line="360" w:lineRule="auto" w:after="120"/>
        <w:ind w:firstLine="720"/>
        <w:jc w:val="both"/>
      </w:pPr>
      <w:r>
        <w:rPr>
          <w:rFonts w:ascii="Times New Roman" w:hAnsi="Times New Roman"/>
          <w:sz w:val="24"/>
        </w:rPr>
        <w:t>Mevcut çalışma, model başarısının veri kaynağı ve etiket semantiğine bağımlılığını merkeze almaktadır. Araştırma boşluğu, en iyi iç test modelinin hangi koşullarda dış test üstünlüğünü koruduğu ve alan odaklı FinBERT'in hangi metin türlerinde yeniden avantaj sağladığı sorularında konumlanmaktadır.</w:t>
      </w:r>
    </w:p>
    <w:p>
      <w:pPr>
        <w:pStyle w:val="Heading1"/>
        <w:spacing w:before="240" w:after="120"/>
      </w:pPr>
      <w:r>
        <w:rPr>
          <w:rFonts w:ascii="Times New Roman" w:hAnsi="Times New Roman"/>
        </w:rPr>
        <w:t>3. YÖNTEM</w:t>
      </w:r>
    </w:p>
    <w:p>
      <w:pPr>
        <w:pStyle w:val="Heading2"/>
        <w:spacing w:before="240" w:after="120"/>
      </w:pPr>
      <w:r>
        <w:rPr>
          <w:rFonts w:ascii="Times New Roman" w:hAnsi="Times New Roman"/>
        </w:rPr>
        <w:t>3.1. Araştırma Tasarımı</w:t>
      </w:r>
    </w:p>
    <w:p>
      <w:pPr>
        <w:spacing w:line="360" w:lineRule="auto" w:after="120"/>
        <w:ind w:firstLine="720"/>
        <w:jc w:val="both"/>
      </w:pPr>
      <w:r>
        <w:rPr>
          <w:rFonts w:ascii="Times New Roman" w:hAnsi="Times New Roman"/>
          <w:sz w:val="24"/>
        </w:rPr>
        <w:t>Araştırma nicel, deneysel ve karşılaştırmalı bir tasarıma sahiptir. Aynı üç sınıflı duygu sınıflandırma görevi farklı model yaklaşımlarıyla çözülmüş; iç test ve bağımsız dış test veri setlerindeki performanslar karşılaştırılmıştır. İş akışı veri hazırlama, temel model değerlendirmesi, tanısal deney, sıfır örnekli değerlendirme, denetimli ince ayar ve dış test aşamalarından oluşmaktadır.</w:t>
      </w:r>
    </w:p>
    <w:tbl>
      <w:tblPr>
        <w:tblStyle w:val="TableGrid"/>
        <w:tblW w:type="auto" w:w="0"/>
        <w:jc w:val="center"/>
        <w:tblLook w:firstColumn="1" w:firstRow="1" w:lastColumn="0" w:lastRow="0" w:noHBand="0" w:noVBand="1" w:val="04A0"/>
      </w:tblPr>
      <w:tblGrid>
        <w:gridCol w:w="2946"/>
        <w:gridCol w:w="2946"/>
        <w:gridCol w:w="2946"/>
      </w:tblGrid>
      <w:tr>
        <w:trPr>
          <w:tblHeader w:val="true"/>
        </w:trPr>
        <w:tc>
          <w:tcPr>
            <w:tcW w:type="dxa" w:w="1984"/>
            <w:vAlign w:val="center"/>
            <w:shd w:fill="D9EAF7"/>
          </w:tcPr>
          <w:p>
            <w:pPr>
              <w:jc w:val="center"/>
            </w:pPr>
            <w:r>
              <w:rPr>
                <w:rFonts w:ascii="Times New Roman" w:hAnsi="Times New Roman"/>
                <w:b/>
                <w:sz w:val="18"/>
              </w:rPr>
            </w:r>
            <w:r>
              <w:rPr>
                <w:rFonts w:ascii="Times New Roman" w:hAnsi="Times New Roman"/>
                <w:b/>
                <w:sz w:val="18"/>
              </w:rPr>
              <w:t>Aşama</w:t>
            </w:r>
          </w:p>
        </w:tc>
        <w:tc>
          <w:tcPr>
            <w:tcW w:type="dxa" w:w="2551"/>
            <w:vAlign w:val="center"/>
            <w:shd w:fill="D9EAF7"/>
          </w:tcPr>
          <w:p>
            <w:pPr>
              <w:jc w:val="center"/>
            </w:pPr>
            <w:r>
              <w:rPr>
                <w:rFonts w:ascii="Times New Roman" w:hAnsi="Times New Roman"/>
                <w:b/>
                <w:sz w:val="18"/>
              </w:rPr>
            </w:r>
            <w:r>
              <w:rPr>
                <w:rFonts w:ascii="Times New Roman" w:hAnsi="Times New Roman"/>
                <w:b/>
                <w:sz w:val="18"/>
              </w:rPr>
              <w:t>Notebook</w:t>
            </w:r>
          </w:p>
        </w:tc>
        <w:tc>
          <w:tcPr>
            <w:tcW w:type="dxa" w:w="4535"/>
            <w:vAlign w:val="center"/>
            <w:shd w:fill="D9EAF7"/>
          </w:tcPr>
          <w:p>
            <w:pPr>
              <w:jc w:val="center"/>
            </w:pPr>
            <w:r>
              <w:rPr>
                <w:rFonts w:ascii="Times New Roman" w:hAnsi="Times New Roman"/>
                <w:b/>
                <w:sz w:val="18"/>
              </w:rPr>
            </w:r>
            <w:r>
              <w:rPr>
                <w:rFonts w:ascii="Times New Roman" w:hAnsi="Times New Roman"/>
                <w:b/>
                <w:sz w:val="18"/>
              </w:rPr>
              <w:t>Amaç</w:t>
            </w:r>
          </w:p>
        </w:tc>
      </w:tr>
      <w:tr>
        <w:tc>
          <w:tcPr>
            <w:tcW w:type="dxa" w:w="1984"/>
            <w:vAlign w:val="center"/>
          </w:tcPr>
          <w:p>
            <w:pPr>
              <w:jc w:val="left"/>
            </w:pPr>
            <w:r>
              <w:rPr>
                <w:rFonts w:ascii="Times New Roman" w:hAnsi="Times New Roman"/>
                <w:sz w:val="18"/>
              </w:rPr>
            </w:r>
            <w:r>
              <w:rPr>
                <w:rFonts w:ascii="Times New Roman" w:hAnsi="Times New Roman"/>
                <w:b w:val="0"/>
                <w:sz w:val="18"/>
              </w:rPr>
              <w:t>Kurulum</w:t>
            </w:r>
          </w:p>
        </w:tc>
        <w:tc>
          <w:tcPr>
            <w:tcW w:type="dxa" w:w="2551"/>
            <w:vAlign w:val="center"/>
          </w:tcPr>
          <w:p>
            <w:pPr>
              <w:jc w:val="left"/>
            </w:pPr>
            <w:r>
              <w:rPr>
                <w:rFonts w:ascii="Times New Roman" w:hAnsi="Times New Roman"/>
                <w:sz w:val="18"/>
              </w:rPr>
            </w:r>
            <w:r>
              <w:rPr>
                <w:rFonts w:ascii="Times New Roman" w:hAnsi="Times New Roman"/>
                <w:b w:val="0"/>
                <w:sz w:val="18"/>
              </w:rPr>
              <w:t>00_setup_requirements</w:t>
            </w:r>
          </w:p>
        </w:tc>
        <w:tc>
          <w:tcPr>
            <w:tcW w:type="dxa" w:w="4535"/>
            <w:vAlign w:val="center"/>
          </w:tcPr>
          <w:p>
            <w:pPr>
              <w:jc w:val="left"/>
            </w:pPr>
            <w:r>
              <w:rPr>
                <w:rFonts w:ascii="Times New Roman" w:hAnsi="Times New Roman"/>
                <w:sz w:val="18"/>
              </w:rPr>
            </w:r>
            <w:r>
              <w:rPr>
                <w:rFonts w:ascii="Times New Roman" w:hAnsi="Times New Roman"/>
                <w:b w:val="0"/>
                <w:sz w:val="18"/>
              </w:rPr>
              <w:t>Kütüphanelerin ve çalışma ortamının hazırlanması</w:t>
            </w:r>
          </w:p>
        </w:tc>
      </w:tr>
      <w:tr>
        <w:tc>
          <w:tcPr>
            <w:tcW w:type="dxa" w:w="1984"/>
            <w:vAlign w:val="center"/>
          </w:tcPr>
          <w:p>
            <w:pPr>
              <w:jc w:val="left"/>
            </w:pPr>
            <w:r>
              <w:rPr>
                <w:rFonts w:ascii="Times New Roman" w:hAnsi="Times New Roman"/>
                <w:sz w:val="18"/>
              </w:rPr>
            </w:r>
            <w:r>
              <w:rPr>
                <w:rFonts w:ascii="Times New Roman" w:hAnsi="Times New Roman"/>
                <w:b w:val="0"/>
                <w:sz w:val="18"/>
              </w:rPr>
              <w:t>Reuters veri hazırlama</w:t>
            </w:r>
          </w:p>
        </w:tc>
        <w:tc>
          <w:tcPr>
            <w:tcW w:type="dxa" w:w="2551"/>
            <w:vAlign w:val="center"/>
          </w:tcPr>
          <w:p>
            <w:pPr>
              <w:jc w:val="left"/>
            </w:pPr>
            <w:r>
              <w:rPr>
                <w:rFonts w:ascii="Times New Roman" w:hAnsi="Times New Roman"/>
                <w:sz w:val="18"/>
              </w:rPr>
            </w:r>
            <w:r>
              <w:rPr>
                <w:rFonts w:ascii="Times New Roman" w:hAnsi="Times New Roman"/>
                <w:b w:val="0"/>
                <w:sz w:val="18"/>
              </w:rPr>
              <w:t>01a_build_reuters_annotation_dataset</w:t>
            </w:r>
          </w:p>
        </w:tc>
        <w:tc>
          <w:tcPr>
            <w:tcW w:type="dxa" w:w="4535"/>
            <w:vAlign w:val="center"/>
          </w:tcPr>
          <w:p>
            <w:pPr>
              <w:jc w:val="left"/>
            </w:pPr>
            <w:r>
              <w:rPr>
                <w:rFonts w:ascii="Times New Roman" w:hAnsi="Times New Roman"/>
                <w:sz w:val="18"/>
              </w:rPr>
            </w:r>
            <w:r>
              <w:rPr>
                <w:rFonts w:ascii="Times New Roman" w:hAnsi="Times New Roman"/>
                <w:b w:val="0"/>
                <w:sz w:val="18"/>
              </w:rPr>
              <w:t>Reuters anotasyon örneklerinin oluşturulması</w:t>
            </w:r>
          </w:p>
        </w:tc>
      </w:tr>
      <w:tr>
        <w:tc>
          <w:tcPr>
            <w:tcW w:type="dxa" w:w="1984"/>
            <w:vAlign w:val="center"/>
          </w:tcPr>
          <w:p>
            <w:pPr>
              <w:jc w:val="left"/>
            </w:pPr>
            <w:r>
              <w:rPr>
                <w:rFonts w:ascii="Times New Roman" w:hAnsi="Times New Roman"/>
                <w:sz w:val="18"/>
              </w:rPr>
            </w:r>
            <w:r>
              <w:rPr>
                <w:rFonts w:ascii="Times New Roman" w:hAnsi="Times New Roman"/>
                <w:b w:val="0"/>
                <w:sz w:val="18"/>
              </w:rPr>
              <w:t>S&amp;P 500 veri hazırlama</w:t>
            </w:r>
          </w:p>
        </w:tc>
        <w:tc>
          <w:tcPr>
            <w:tcW w:type="dxa" w:w="2551"/>
            <w:vAlign w:val="center"/>
          </w:tcPr>
          <w:p>
            <w:pPr>
              <w:jc w:val="left"/>
            </w:pPr>
            <w:r>
              <w:rPr>
                <w:rFonts w:ascii="Times New Roman" w:hAnsi="Times New Roman"/>
                <w:sz w:val="18"/>
              </w:rPr>
            </w:r>
            <w:r>
              <w:rPr>
                <w:rFonts w:ascii="Times New Roman" w:hAnsi="Times New Roman"/>
                <w:b w:val="0"/>
                <w:sz w:val="18"/>
              </w:rPr>
              <w:t>01b_build_sp500_annotation_dataset</w:t>
            </w:r>
          </w:p>
        </w:tc>
        <w:tc>
          <w:tcPr>
            <w:tcW w:type="dxa" w:w="4535"/>
            <w:vAlign w:val="center"/>
          </w:tcPr>
          <w:p>
            <w:pPr>
              <w:jc w:val="left"/>
            </w:pPr>
            <w:r>
              <w:rPr>
                <w:rFonts w:ascii="Times New Roman" w:hAnsi="Times New Roman"/>
                <w:sz w:val="18"/>
              </w:rPr>
            </w:r>
            <w:r>
              <w:rPr>
                <w:rFonts w:ascii="Times New Roman" w:hAnsi="Times New Roman"/>
                <w:b w:val="0"/>
                <w:sz w:val="18"/>
              </w:rPr>
              <w:t>Başlıkların ön etiketlenmesi ve dengeli anotasyon seti</w:t>
            </w:r>
          </w:p>
        </w:tc>
      </w:tr>
      <w:tr>
        <w:tc>
          <w:tcPr>
            <w:tcW w:type="dxa" w:w="1984"/>
            <w:vAlign w:val="center"/>
          </w:tcPr>
          <w:p>
            <w:pPr>
              <w:jc w:val="left"/>
            </w:pPr>
            <w:r>
              <w:rPr>
                <w:rFonts w:ascii="Times New Roman" w:hAnsi="Times New Roman"/>
                <w:sz w:val="18"/>
              </w:rPr>
            </w:r>
            <w:r>
              <w:rPr>
                <w:rFonts w:ascii="Times New Roman" w:hAnsi="Times New Roman"/>
                <w:b w:val="0"/>
                <w:sz w:val="18"/>
              </w:rPr>
              <w:t>FinBERT temel model</w:t>
            </w:r>
          </w:p>
        </w:tc>
        <w:tc>
          <w:tcPr>
            <w:tcW w:type="dxa" w:w="2551"/>
            <w:vAlign w:val="center"/>
          </w:tcPr>
          <w:p>
            <w:pPr>
              <w:jc w:val="left"/>
            </w:pPr>
            <w:r>
              <w:rPr>
                <w:rFonts w:ascii="Times New Roman" w:hAnsi="Times New Roman"/>
                <w:sz w:val="18"/>
              </w:rPr>
            </w:r>
            <w:r>
              <w:rPr>
                <w:rFonts w:ascii="Times New Roman" w:hAnsi="Times New Roman"/>
                <w:b w:val="0"/>
                <w:sz w:val="18"/>
              </w:rPr>
              <w:t>02_evaluate_finbert_baseline</w:t>
            </w:r>
          </w:p>
        </w:tc>
        <w:tc>
          <w:tcPr>
            <w:tcW w:type="dxa" w:w="4535"/>
            <w:vAlign w:val="center"/>
          </w:tcPr>
          <w:p>
            <w:pPr>
              <w:jc w:val="left"/>
            </w:pPr>
            <w:r>
              <w:rPr>
                <w:rFonts w:ascii="Times New Roman" w:hAnsi="Times New Roman"/>
                <w:sz w:val="18"/>
              </w:rPr>
            </w:r>
            <w:r>
              <w:rPr>
                <w:rFonts w:ascii="Times New Roman" w:hAnsi="Times New Roman"/>
                <w:b w:val="0"/>
                <w:sz w:val="18"/>
              </w:rPr>
              <w:t>Hazır FinBERT performansı ve hata analizi</w:t>
            </w:r>
          </w:p>
        </w:tc>
      </w:tr>
      <w:tr>
        <w:tc>
          <w:tcPr>
            <w:tcW w:type="dxa" w:w="1984"/>
            <w:vAlign w:val="center"/>
          </w:tcPr>
          <w:p>
            <w:pPr>
              <w:jc w:val="left"/>
            </w:pPr>
            <w:r>
              <w:rPr>
                <w:rFonts w:ascii="Times New Roman" w:hAnsi="Times New Roman"/>
                <w:sz w:val="18"/>
              </w:rPr>
            </w:r>
            <w:r>
              <w:rPr>
                <w:rFonts w:ascii="Times New Roman" w:hAnsi="Times New Roman"/>
                <w:b w:val="0"/>
                <w:sz w:val="18"/>
              </w:rPr>
              <w:t>Tanısal deney</w:t>
            </w:r>
          </w:p>
        </w:tc>
        <w:tc>
          <w:tcPr>
            <w:tcW w:type="dxa" w:w="2551"/>
            <w:vAlign w:val="center"/>
          </w:tcPr>
          <w:p>
            <w:pPr>
              <w:jc w:val="left"/>
            </w:pPr>
            <w:r>
              <w:rPr>
                <w:rFonts w:ascii="Times New Roman" w:hAnsi="Times New Roman"/>
                <w:sz w:val="18"/>
              </w:rPr>
            </w:r>
            <w:r>
              <w:rPr>
                <w:rFonts w:ascii="Times New Roman" w:hAnsi="Times New Roman"/>
                <w:b w:val="0"/>
                <w:sz w:val="18"/>
              </w:rPr>
              <w:t>03a_evaluate_unfinetuned_models_diagnostic</w:t>
            </w:r>
          </w:p>
        </w:tc>
        <w:tc>
          <w:tcPr>
            <w:tcW w:type="dxa" w:w="4535"/>
            <w:vAlign w:val="center"/>
          </w:tcPr>
          <w:p>
            <w:pPr>
              <w:jc w:val="left"/>
            </w:pPr>
            <w:r>
              <w:rPr>
                <w:rFonts w:ascii="Times New Roman" w:hAnsi="Times New Roman"/>
                <w:sz w:val="18"/>
              </w:rPr>
            </w:r>
            <w:r>
              <w:rPr>
                <w:rFonts w:ascii="Times New Roman" w:hAnsi="Times New Roman"/>
                <w:b w:val="0"/>
                <w:sz w:val="18"/>
              </w:rPr>
              <w:t>İnce ayarsız modellerin tanısal değerlendirilmesi</w:t>
            </w:r>
          </w:p>
        </w:tc>
      </w:tr>
      <w:tr>
        <w:tc>
          <w:tcPr>
            <w:tcW w:type="dxa" w:w="1984"/>
            <w:vAlign w:val="center"/>
          </w:tcPr>
          <w:p>
            <w:r>
              <w:t>Tamamlayıcı/keşifsel sıfır örnekli test</w:t>
            </w:r>
          </w:p>
        </w:tc>
        <w:tc>
          <w:tcPr>
            <w:tcW w:type="dxa" w:w="2551"/>
            <w:vAlign w:val="center"/>
          </w:tcPr>
          <w:p>
            <w:pPr>
              <w:jc w:val="left"/>
            </w:pPr>
            <w:r>
              <w:rPr>
                <w:rFonts w:ascii="Times New Roman" w:hAnsi="Times New Roman"/>
                <w:sz w:val="18"/>
              </w:rPr>
            </w:r>
            <w:r>
              <w:rPr>
                <w:rFonts w:ascii="Times New Roman" w:hAnsi="Times New Roman"/>
                <w:b w:val="0"/>
                <w:sz w:val="18"/>
              </w:rPr>
              <w:t>03b/03c</w:t>
            </w:r>
          </w:p>
        </w:tc>
        <w:tc>
          <w:tcPr>
            <w:tcW w:type="dxa" w:w="4535"/>
            <w:vAlign w:val="center"/>
          </w:tcPr>
          <w:p>
            <w:r>
              <w:t>Etiketli eğitim verisi olmadan başlangıç performansının gözlenmesi</w:t>
            </w:r>
          </w:p>
        </w:tc>
      </w:tr>
      <w:tr>
        <w:tc>
          <w:tcPr>
            <w:tcW w:type="dxa" w:w="1984"/>
            <w:vAlign w:val="center"/>
          </w:tcPr>
          <w:p>
            <w:pPr>
              <w:jc w:val="left"/>
            </w:pPr>
            <w:r>
              <w:rPr>
                <w:rFonts w:ascii="Times New Roman" w:hAnsi="Times New Roman"/>
                <w:sz w:val="18"/>
              </w:rPr>
            </w:r>
            <w:r>
              <w:rPr>
                <w:rFonts w:ascii="Times New Roman" w:hAnsi="Times New Roman"/>
                <w:b w:val="0"/>
                <w:sz w:val="18"/>
              </w:rPr>
              <w:t>İnce ayar</w:t>
            </w:r>
          </w:p>
        </w:tc>
        <w:tc>
          <w:tcPr>
            <w:tcW w:type="dxa" w:w="2551"/>
            <w:vAlign w:val="center"/>
          </w:tcPr>
          <w:p>
            <w:pPr>
              <w:jc w:val="left"/>
            </w:pPr>
            <w:r>
              <w:rPr>
                <w:rFonts w:ascii="Times New Roman" w:hAnsi="Times New Roman"/>
                <w:sz w:val="18"/>
              </w:rPr>
            </w:r>
            <w:r>
              <w:rPr>
                <w:rFonts w:ascii="Times New Roman" w:hAnsi="Times New Roman"/>
                <w:b w:val="0"/>
                <w:sz w:val="18"/>
              </w:rPr>
              <w:t>04_train_plain_sentiment_models</w:t>
            </w:r>
          </w:p>
        </w:tc>
        <w:tc>
          <w:tcPr>
            <w:tcW w:type="dxa" w:w="4535"/>
            <w:vAlign w:val="center"/>
          </w:tcPr>
          <w:p>
            <w:pPr>
              <w:jc w:val="left"/>
            </w:pPr>
            <w:r>
              <w:rPr>
                <w:rFonts w:ascii="Times New Roman" w:hAnsi="Times New Roman"/>
                <w:sz w:val="18"/>
              </w:rPr>
            </w:r>
            <w:r>
              <w:rPr>
                <w:rFonts w:ascii="Times New Roman" w:hAnsi="Times New Roman"/>
                <w:b w:val="0"/>
                <w:sz w:val="18"/>
              </w:rPr>
              <w:t>BERT, DistilBERT ve RoBERTa eğitimi</w:t>
            </w:r>
          </w:p>
        </w:tc>
      </w:tr>
      <w:tr>
        <w:tc>
          <w:tcPr>
            <w:tcW w:type="dxa" w:w="1984"/>
            <w:vAlign w:val="center"/>
          </w:tcPr>
          <w:p>
            <w:pPr>
              <w:jc w:val="left"/>
            </w:pPr>
            <w:r>
              <w:rPr>
                <w:rFonts w:ascii="Times New Roman" w:hAnsi="Times New Roman"/>
                <w:sz w:val="18"/>
              </w:rPr>
            </w:r>
            <w:r>
              <w:rPr>
                <w:rFonts w:ascii="Times New Roman" w:hAnsi="Times New Roman"/>
                <w:b w:val="0"/>
                <w:sz w:val="18"/>
              </w:rPr>
              <w:t>Dış testler</w:t>
            </w:r>
          </w:p>
        </w:tc>
        <w:tc>
          <w:tcPr>
            <w:tcW w:type="dxa" w:w="2551"/>
            <w:vAlign w:val="center"/>
          </w:tcPr>
          <w:p>
            <w:pPr>
              <w:jc w:val="left"/>
            </w:pPr>
            <w:r>
              <w:rPr>
                <w:rFonts w:ascii="Times New Roman" w:hAnsi="Times New Roman"/>
                <w:sz w:val="18"/>
              </w:rPr>
            </w:r>
            <w:r>
              <w:rPr>
                <w:rFonts w:ascii="Times New Roman" w:hAnsi="Times New Roman"/>
                <w:b w:val="0"/>
                <w:sz w:val="18"/>
              </w:rPr>
              <w:t>05/06/07</w:t>
            </w:r>
          </w:p>
        </w:tc>
        <w:tc>
          <w:tcPr>
            <w:tcW w:type="dxa" w:w="4535"/>
            <w:vAlign w:val="center"/>
          </w:tcPr>
          <w:p>
            <w:pPr>
              <w:jc w:val="left"/>
            </w:pPr>
            <w:r>
              <w:rPr>
                <w:rFonts w:ascii="Times New Roman" w:hAnsi="Times New Roman"/>
                <w:sz w:val="18"/>
              </w:rPr>
            </w:r>
            <w:r>
              <w:rPr>
                <w:rFonts w:ascii="Times New Roman" w:hAnsi="Times New Roman"/>
                <w:b w:val="0"/>
                <w:sz w:val="18"/>
              </w:rPr>
              <w:t>S&amp;P 500, sentetik ve Reuters değerlendirmeleri</w:t>
            </w:r>
          </w:p>
        </w:tc>
      </w:tr>
    </w:tbl>
    <w:p>
      <w:pPr>
        <w:spacing w:line="360" w:lineRule="auto" w:after="120"/>
        <w:jc w:val="both"/>
      </w:pPr>
    </w:p>
    <w:p>
      <w:pPr>
        <w:pStyle w:val="Heading2"/>
        <w:spacing w:before="240" w:after="120"/>
      </w:pPr>
      <w:r>
        <w:rPr>
          <w:rFonts w:ascii="Times New Roman" w:hAnsi="Times New Roman"/>
        </w:rPr>
        <w:t>3.2. Veri Setleri</w:t>
      </w:r>
    </w:p>
    <w:p>
      <w:pPr>
        <w:pStyle w:val="Heading3"/>
        <w:spacing w:before="240" w:after="120"/>
      </w:pPr>
      <w:r>
        <w:rPr>
          <w:rFonts w:ascii="Times New Roman" w:hAnsi="Times New Roman"/>
        </w:rPr>
        <w:t>3.2.1. Ana Eğitim ve İç Test Veri Seti</w:t>
      </w:r>
    </w:p>
    <w:p>
      <w:pPr>
        <w:spacing w:line="360" w:lineRule="auto" w:after="120"/>
        <w:ind w:firstLine="720"/>
        <w:jc w:val="both"/>
      </w:pPr>
      <w:r>
        <w:rPr>
          <w:rFonts w:ascii="Times New Roman" w:hAnsi="Times New Roman"/>
          <w:sz w:val="24"/>
        </w:rPr>
        <w:t>Ana deney veri havuzu Twitter Financial News Sentiment örnekleri ile yardımcı eğitim amacıyla Financial PhraseBank örneklerinden oluşturulmuştur. Nihai test kümesi yalnızca ana Twitter veri setinden katmanlı örnekleme ile ayrılmış ve 2.387 örnek içermiştir. Financial PhraseBank örnekleri temel FinBERT karşılaştırmasında olası eğitim örtüşmesi nedeniyle test kümesine alınmamış, yalnızca eğitim havuzunda kullanılmıştır. Metinlerin küçük harfe dönüştürülmüş normalize sürümleri üzerinden eğitim-test örtüşme kontrolü uygulanmıştır.</w:t>
      </w:r>
    </w:p>
    <w:p>
      <w:pPr>
        <w:pStyle w:val="Heading3"/>
        <w:spacing w:before="240" w:after="120"/>
      </w:pPr>
      <w:r>
        <w:rPr>
          <w:rFonts w:ascii="Times New Roman" w:hAnsi="Times New Roman"/>
        </w:rPr>
        <w:t>3.2.2. S&amp;P 500 Dış Test Seti</w:t>
      </w:r>
    </w:p>
    <w:p>
      <w:pPr>
        <w:spacing w:line="360" w:lineRule="auto" w:after="120"/>
        <w:ind w:firstLine="720"/>
        <w:jc w:val="both"/>
      </w:pPr>
      <w:r>
        <w:rPr>
          <w:rFonts w:ascii="Times New Roman" w:hAnsi="Times New Roman"/>
          <w:sz w:val="24"/>
        </w:rPr>
        <w:t>S&amp;P 500 şirketlerine ilişkin haber başlıkları hazır FinBERT ile ön etiketlenmiş, daha sonra sınıflar dengelenerek anotasyon batch dosyaları oluşturulmuştur. Dış testte kullanılan geçerli değerlendirme seti 1.060 örnekten oluşmaktadır: 323 negative, 339 neutral ve 398 positive. Etiketleme sürecinde manuel inceleme için ChatGPT destekli açıklama alanları kullanılmış; ancak nihai akademik sürümde insan anotatör sayısı ve bağımsız uyum ölçümü ayrıca raporlanmalıdır.</w:t>
      </w:r>
    </w:p>
    <w:p>
      <w:pPr>
        <w:pStyle w:val="Heading3"/>
        <w:spacing w:before="240" w:after="120"/>
      </w:pPr>
      <w:r>
        <w:rPr>
          <w:rFonts w:ascii="Times New Roman" w:hAnsi="Times New Roman"/>
        </w:rPr>
        <w:t>3.2.3. Sentetik Finansal Haber Seti</w:t>
      </w:r>
    </w:p>
    <w:p>
      <w:pPr>
        <w:spacing w:line="360" w:lineRule="auto" w:after="120"/>
        <w:ind w:firstLine="720"/>
        <w:jc w:val="both"/>
      </w:pPr>
      <w:r>
        <w:rPr>
          <w:rFonts w:ascii="Times New Roman" w:hAnsi="Times New Roman"/>
          <w:sz w:val="24"/>
        </w:rPr>
        <w:t>Sentetik değerlendirme seti her sınıf için dengeli olacak biçimde toplam 3.000 finansal haber örneğinden oluşmaktadır. Set, açık ve kontrollü duygu sinyalleri içerdiği için modellerin öğrenilmiş sınıf sınırlarını sınamakta yararlıdır; ancak gerçek haber dilindeki belirsizlik, örtük etki ve editoryal çeşitlilik sınırlıdır.</w:t>
      </w:r>
    </w:p>
    <w:p>
      <w:pPr>
        <w:pStyle w:val="Heading3"/>
        <w:spacing w:before="240" w:after="120"/>
      </w:pPr>
      <w:r>
        <w:rPr>
          <w:rFonts w:ascii="Times New Roman" w:hAnsi="Times New Roman"/>
        </w:rPr>
        <w:t>3.2.4. Reuters Anotasyon Seti</w:t>
      </w:r>
    </w:p>
    <w:p>
      <w:pPr>
        <w:spacing w:line="360" w:lineRule="auto" w:after="120"/>
        <w:ind w:firstLine="720"/>
        <w:jc w:val="both"/>
      </w:pPr>
      <w:r>
        <w:rPr>
          <w:rFonts w:ascii="Times New Roman" w:hAnsi="Times New Roman"/>
          <w:sz w:val="24"/>
        </w:rPr>
        <w:t>Reuters dış test seti 5.000 finansal haber örneğinden oluşmaktadır. Batch dosyaları farklı kolon ve başlık yapıları için sağlam okuma yordamlarıyla birleştirilmiş; metin, nihai etiket ve destekleyici açıklama alanları standartlaştırılmıştır. Reuters metinleri, ana veri setine kıyasla daha editoryal ve kurumsal bir dil taşıdığından uzak alan genelleme testi olarak ele alınmıştır.</w:t>
      </w:r>
    </w:p>
    <w:p>
      <w:pPr>
        <w:pStyle w:val="Heading2"/>
        <w:spacing w:before="240" w:after="120"/>
      </w:pPr>
      <w:r>
        <w:rPr>
          <w:rFonts w:ascii="Times New Roman" w:hAnsi="Times New Roman"/>
        </w:rPr>
        <w:t>3.3. Modeller</w:t>
      </w:r>
    </w:p>
    <w:tbl>
      <w:tblPr>
        <w:tblStyle w:val="TableGrid"/>
        <w:tblW w:type="auto" w:w="0"/>
        <w:jc w:val="center"/>
        <w:tblLook w:firstColumn="1" w:firstRow="1" w:lastColumn="0" w:lastRow="0" w:noHBand="0" w:noVBand="1" w:val="04A0"/>
      </w:tblPr>
      <w:tblGrid>
        <w:gridCol w:w="2946"/>
        <w:gridCol w:w="2946"/>
        <w:gridCol w:w="2946"/>
      </w:tblGrid>
      <w:tr>
        <w:trPr>
          <w:tblHeader w:val="true"/>
        </w:trPr>
        <w:tc>
          <w:tcPr>
            <w:tcW w:type="dxa" w:w="2268"/>
            <w:vAlign w:val="center"/>
            <w:shd w:fill="D9EAF7"/>
          </w:tcPr>
          <w:p>
            <w:pPr>
              <w:jc w:val="center"/>
            </w:pPr>
            <w:r>
              <w:rPr>
                <w:rFonts w:ascii="Times New Roman" w:hAnsi="Times New Roman"/>
                <w:b/>
                <w:sz w:val="18"/>
              </w:rPr>
            </w:r>
            <w:r>
              <w:rPr>
                <w:rFonts w:ascii="Times New Roman" w:hAnsi="Times New Roman"/>
                <w:b/>
                <w:sz w:val="18"/>
              </w:rPr>
              <w:t>Model</w:t>
            </w:r>
          </w:p>
        </w:tc>
        <w:tc>
          <w:tcPr>
            <w:tcW w:type="dxa" w:w="2835"/>
            <w:vAlign w:val="center"/>
            <w:shd w:fill="D9EAF7"/>
          </w:tcPr>
          <w:p>
            <w:pPr>
              <w:jc w:val="center"/>
            </w:pPr>
            <w:r>
              <w:rPr>
                <w:rFonts w:ascii="Times New Roman" w:hAnsi="Times New Roman"/>
                <w:b/>
                <w:sz w:val="18"/>
              </w:rPr>
            </w:r>
            <w:r>
              <w:rPr>
                <w:rFonts w:ascii="Times New Roman" w:hAnsi="Times New Roman"/>
                <w:b/>
                <w:sz w:val="18"/>
              </w:rPr>
              <w:t>Yaklaşım</w:t>
            </w:r>
          </w:p>
        </w:tc>
        <w:tc>
          <w:tcPr>
            <w:tcW w:type="dxa" w:w="3969"/>
            <w:vAlign w:val="center"/>
            <w:shd w:fill="D9EAF7"/>
          </w:tcPr>
          <w:p>
            <w:pPr>
              <w:jc w:val="center"/>
            </w:pPr>
            <w:r>
              <w:rPr>
                <w:rFonts w:ascii="Times New Roman" w:hAnsi="Times New Roman"/>
                <w:b/>
                <w:sz w:val="18"/>
              </w:rPr>
            </w:r>
            <w:r>
              <w:rPr>
                <w:rFonts w:ascii="Times New Roman" w:hAnsi="Times New Roman"/>
                <w:b/>
                <w:sz w:val="18"/>
              </w:rPr>
              <w:t>Çalışmadaki rol</w:t>
            </w:r>
          </w:p>
        </w:tc>
      </w:tr>
      <w:tr>
        <w:tc>
          <w:tcPr>
            <w:tcW w:type="dxa" w:w="2268"/>
            <w:vAlign w:val="center"/>
          </w:tcPr>
          <w:p>
            <w:pPr>
              <w:jc w:val="left"/>
            </w:pPr>
            <w:r>
              <w:rPr>
                <w:rFonts w:ascii="Times New Roman" w:hAnsi="Times New Roman"/>
                <w:sz w:val="18"/>
              </w:rPr>
            </w:r>
            <w:r>
              <w:rPr>
                <w:rFonts w:ascii="Times New Roman" w:hAnsi="Times New Roman"/>
                <w:b w:val="0"/>
                <w:sz w:val="18"/>
              </w:rPr>
              <w:t>ProsusAI/FinBERT</w:t>
            </w:r>
          </w:p>
        </w:tc>
        <w:tc>
          <w:tcPr>
            <w:tcW w:type="dxa" w:w="2835"/>
            <w:vAlign w:val="center"/>
          </w:tcPr>
          <w:p>
            <w:pPr>
              <w:jc w:val="left"/>
            </w:pPr>
            <w:r>
              <w:rPr>
                <w:rFonts w:ascii="Times New Roman" w:hAnsi="Times New Roman"/>
                <w:sz w:val="18"/>
              </w:rPr>
            </w:r>
            <w:r>
              <w:rPr>
                <w:rFonts w:ascii="Times New Roman" w:hAnsi="Times New Roman"/>
                <w:b w:val="0"/>
                <w:sz w:val="18"/>
              </w:rPr>
              <w:t>Finans alanına özgü ön eğitim ve duygu sınıflandırma başlığı</w:t>
            </w:r>
          </w:p>
        </w:tc>
        <w:tc>
          <w:tcPr>
            <w:tcW w:type="dxa" w:w="3969"/>
            <w:vAlign w:val="center"/>
          </w:tcPr>
          <w:p>
            <w:pPr>
              <w:jc w:val="left"/>
            </w:pPr>
            <w:r>
              <w:rPr>
                <w:rFonts w:ascii="Times New Roman" w:hAnsi="Times New Roman"/>
                <w:sz w:val="18"/>
              </w:rPr>
            </w:r>
            <w:r>
              <w:rPr>
                <w:rFonts w:ascii="Times New Roman" w:hAnsi="Times New Roman"/>
                <w:b w:val="0"/>
                <w:sz w:val="18"/>
              </w:rPr>
              <w:t>Hazır temel model</w:t>
            </w:r>
          </w:p>
        </w:tc>
      </w:tr>
      <w:tr>
        <w:tc>
          <w:tcPr>
            <w:tcW w:type="dxa" w:w="2268"/>
            <w:vAlign w:val="center"/>
          </w:tcPr>
          <w:p>
            <w:pPr>
              <w:jc w:val="left"/>
            </w:pPr>
            <w:r>
              <w:rPr>
                <w:rFonts w:ascii="Times New Roman" w:hAnsi="Times New Roman"/>
                <w:sz w:val="18"/>
              </w:rPr>
            </w:r>
            <w:r>
              <w:rPr>
                <w:rFonts w:ascii="Times New Roman" w:hAnsi="Times New Roman"/>
                <w:b w:val="0"/>
                <w:sz w:val="18"/>
              </w:rPr>
              <w:t>BERT-base-uncased</w:t>
            </w:r>
          </w:p>
        </w:tc>
        <w:tc>
          <w:tcPr>
            <w:tcW w:type="dxa" w:w="2835"/>
            <w:vAlign w:val="center"/>
          </w:tcPr>
          <w:p>
            <w:pPr>
              <w:jc w:val="left"/>
            </w:pPr>
            <w:r>
              <w:rPr>
                <w:rFonts w:ascii="Times New Roman" w:hAnsi="Times New Roman"/>
                <w:sz w:val="18"/>
              </w:rPr>
            </w:r>
            <w:r>
              <w:rPr>
                <w:rFonts w:ascii="Times New Roman" w:hAnsi="Times New Roman"/>
                <w:b w:val="0"/>
                <w:sz w:val="18"/>
              </w:rPr>
              <w:t>Genel amaçlı Transformer encoder</w:t>
            </w:r>
          </w:p>
        </w:tc>
        <w:tc>
          <w:tcPr>
            <w:tcW w:type="dxa" w:w="3969"/>
            <w:vAlign w:val="center"/>
          </w:tcPr>
          <w:p>
            <w:pPr>
              <w:jc w:val="left"/>
            </w:pPr>
            <w:r>
              <w:rPr>
                <w:rFonts w:ascii="Times New Roman" w:hAnsi="Times New Roman"/>
                <w:sz w:val="18"/>
              </w:rPr>
            </w:r>
            <w:r>
              <w:rPr>
                <w:rFonts w:ascii="Times New Roman" w:hAnsi="Times New Roman"/>
                <w:b w:val="0"/>
                <w:sz w:val="18"/>
              </w:rPr>
              <w:t>Hedef veri setine ince ayarlı model</w:t>
            </w:r>
          </w:p>
        </w:tc>
      </w:tr>
      <w:tr>
        <w:tc>
          <w:tcPr>
            <w:tcW w:type="dxa" w:w="2268"/>
            <w:vAlign w:val="center"/>
          </w:tcPr>
          <w:p>
            <w:pPr>
              <w:jc w:val="left"/>
            </w:pPr>
            <w:r>
              <w:rPr>
                <w:rFonts w:ascii="Times New Roman" w:hAnsi="Times New Roman"/>
                <w:sz w:val="18"/>
              </w:rPr>
            </w:r>
            <w:r>
              <w:rPr>
                <w:rFonts w:ascii="Times New Roman" w:hAnsi="Times New Roman"/>
                <w:b w:val="0"/>
                <w:sz w:val="18"/>
              </w:rPr>
              <w:t>DistilBERT-base-uncased</w:t>
            </w:r>
          </w:p>
        </w:tc>
        <w:tc>
          <w:tcPr>
            <w:tcW w:type="dxa" w:w="2835"/>
            <w:vAlign w:val="center"/>
          </w:tcPr>
          <w:p>
            <w:pPr>
              <w:jc w:val="left"/>
            </w:pPr>
            <w:r>
              <w:rPr>
                <w:rFonts w:ascii="Times New Roman" w:hAnsi="Times New Roman"/>
                <w:sz w:val="18"/>
              </w:rPr>
            </w:r>
            <w:r>
              <w:rPr>
                <w:rFonts w:ascii="Times New Roman" w:hAnsi="Times New Roman"/>
                <w:b w:val="0"/>
                <w:sz w:val="18"/>
              </w:rPr>
              <w:t>Damıtılmış, daha hafif BERT</w:t>
            </w:r>
          </w:p>
        </w:tc>
        <w:tc>
          <w:tcPr>
            <w:tcW w:type="dxa" w:w="3969"/>
            <w:vAlign w:val="center"/>
          </w:tcPr>
          <w:p>
            <w:pPr>
              <w:jc w:val="left"/>
            </w:pPr>
            <w:r>
              <w:rPr>
                <w:rFonts w:ascii="Times New Roman" w:hAnsi="Times New Roman"/>
                <w:sz w:val="18"/>
              </w:rPr>
            </w:r>
            <w:r>
              <w:rPr>
                <w:rFonts w:ascii="Times New Roman" w:hAnsi="Times New Roman"/>
                <w:b w:val="0"/>
                <w:sz w:val="18"/>
              </w:rPr>
              <w:t>Verimlilik odaklı ince ayarlı model</w:t>
            </w:r>
          </w:p>
        </w:tc>
      </w:tr>
      <w:tr>
        <w:tc>
          <w:tcPr>
            <w:tcW w:type="dxa" w:w="2268"/>
            <w:vAlign w:val="center"/>
          </w:tcPr>
          <w:p>
            <w:pPr>
              <w:jc w:val="left"/>
            </w:pPr>
            <w:r>
              <w:rPr>
                <w:rFonts w:ascii="Times New Roman" w:hAnsi="Times New Roman"/>
                <w:sz w:val="18"/>
              </w:rPr>
            </w:r>
            <w:r>
              <w:rPr>
                <w:rFonts w:ascii="Times New Roman" w:hAnsi="Times New Roman"/>
                <w:b w:val="0"/>
                <w:sz w:val="18"/>
              </w:rPr>
              <w:t>RoBERTa-base</w:t>
            </w:r>
          </w:p>
        </w:tc>
        <w:tc>
          <w:tcPr>
            <w:tcW w:type="dxa" w:w="2835"/>
            <w:vAlign w:val="center"/>
          </w:tcPr>
          <w:p>
            <w:pPr>
              <w:jc w:val="left"/>
            </w:pPr>
            <w:r>
              <w:rPr>
                <w:rFonts w:ascii="Times New Roman" w:hAnsi="Times New Roman"/>
                <w:sz w:val="18"/>
              </w:rPr>
            </w:r>
            <w:r>
              <w:rPr>
                <w:rFonts w:ascii="Times New Roman" w:hAnsi="Times New Roman"/>
                <w:b w:val="0"/>
                <w:sz w:val="18"/>
              </w:rPr>
              <w:t>Optimize edilmiş BERT ön eğitimi</w:t>
            </w:r>
          </w:p>
        </w:tc>
        <w:tc>
          <w:tcPr>
            <w:tcW w:type="dxa" w:w="3969"/>
            <w:vAlign w:val="center"/>
          </w:tcPr>
          <w:p>
            <w:pPr>
              <w:jc w:val="left"/>
            </w:pPr>
            <w:r>
              <w:rPr>
                <w:rFonts w:ascii="Times New Roman" w:hAnsi="Times New Roman"/>
                <w:sz w:val="18"/>
              </w:rPr>
            </w:r>
            <w:r>
              <w:rPr>
                <w:rFonts w:ascii="Times New Roman" w:hAnsi="Times New Roman"/>
                <w:b w:val="0"/>
                <w:sz w:val="18"/>
              </w:rPr>
              <w:t>Güçlü genel amaçlı ince ayarlı model</w:t>
            </w:r>
          </w:p>
        </w:tc>
      </w:tr>
      <w:tr>
        <w:tc>
          <w:tcPr>
            <w:tcW w:type="dxa" w:w="2268"/>
            <w:vAlign w:val="center"/>
          </w:tcPr>
          <w:p>
            <w:pPr>
              <w:jc w:val="left"/>
            </w:pPr>
            <w:r>
              <w:rPr>
                <w:rFonts w:ascii="Times New Roman" w:hAnsi="Times New Roman"/>
                <w:sz w:val="18"/>
              </w:rPr>
            </w:r>
            <w:r>
              <w:rPr>
                <w:rFonts w:ascii="Times New Roman" w:hAnsi="Times New Roman"/>
                <w:b w:val="0"/>
                <w:sz w:val="18"/>
              </w:rPr>
              <w:t>BART-large-MNLI ve NLI ailesi</w:t>
            </w:r>
          </w:p>
        </w:tc>
        <w:tc>
          <w:tcPr>
            <w:tcW w:type="dxa" w:w="2835"/>
            <w:vAlign w:val="center"/>
          </w:tcPr>
          <w:p>
            <w:pPr>
              <w:jc w:val="left"/>
            </w:pPr>
            <w:r>
              <w:rPr>
                <w:rFonts w:ascii="Times New Roman" w:hAnsi="Times New Roman"/>
                <w:sz w:val="18"/>
              </w:rPr>
            </w:r>
            <w:r>
              <w:rPr>
                <w:rFonts w:ascii="Times New Roman" w:hAnsi="Times New Roman"/>
                <w:b w:val="0"/>
                <w:sz w:val="18"/>
              </w:rPr>
              <w:t>Doğal dil çıkarımı</w:t>
            </w:r>
          </w:p>
        </w:tc>
        <w:tc>
          <w:tcPr>
            <w:tcW w:type="dxa" w:w="3969"/>
            <w:vAlign w:val="center"/>
          </w:tcPr>
          <w:p>
            <w:r>
              <w:t>Tamamlayıcı/keşifsel başlangıç ölçütü</w:t>
            </w:r>
          </w:p>
        </w:tc>
      </w:tr>
    </w:tbl>
    <w:p>
      <w:pPr>
        <w:spacing w:line="360" w:lineRule="auto" w:after="120"/>
        <w:jc w:val="both"/>
      </w:pPr>
    </w:p>
    <w:p>
      <w:pPr>
        <w:pStyle w:val="Heading2"/>
        <w:spacing w:before="240" w:after="120"/>
      </w:pPr>
      <w:r>
        <w:rPr>
          <w:rFonts w:ascii="Times New Roman" w:hAnsi="Times New Roman"/>
        </w:rPr>
        <w:t>3.4. Eğitim Ayarları</w:t>
      </w:r>
    </w:p>
    <w:p>
      <w:pPr>
        <w:spacing w:line="360" w:lineRule="auto" w:after="120"/>
        <w:ind w:firstLine="720"/>
        <w:jc w:val="both"/>
      </w:pPr>
      <w:r>
        <w:rPr>
          <w:rFonts w:ascii="Times New Roman" w:hAnsi="Times New Roman"/>
          <w:sz w:val="24"/>
        </w:rPr>
        <w:t>İnce ayar deneylerinde dört epoch, 2×10⁻⁵ öğrenme oranı, 16 eğitim batch boyutu ve 32 değerlendirme batch boyutu kullanılmıştır. Metinler ilgili model tokenizer'ı ile kodlanmış, üç sınıflı sequence classification başlığı uygulanmıştır. Her epoch sonunda doğrulama yapılmış ve model seçimi makro F1 ölçütü üzerinden değerlendirilmiştir. Kesin yeniden üretilebilirlik için rastgele tohum, donanım, maksimum dizi uzunluğu, optimizer ve weight decay değerleri nihai tez sürümünde deney günlüklarından doğrulanarak eklenmelidir.</w:t>
      </w:r>
    </w:p>
    <w:p>
      <w:pPr>
        <w:pStyle w:val="Heading2"/>
        <w:spacing w:before="240" w:after="120"/>
      </w:pPr>
      <w:r>
        <w:rPr>
          <w:rFonts w:ascii="Times New Roman" w:hAnsi="Times New Roman"/>
        </w:rPr>
        <w:t>3.5. Değerlendirme Ölçütleri</w:t>
      </w:r>
    </w:p>
    <w:p>
      <w:pPr>
        <w:spacing w:line="360" w:lineRule="auto" w:after="120"/>
        <w:ind w:firstLine="720"/>
        <w:jc w:val="both"/>
      </w:pPr>
      <w:r>
        <w:rPr>
          <w:rFonts w:ascii="Times New Roman" w:hAnsi="Times New Roman"/>
          <w:sz w:val="24"/>
        </w:rPr>
        <w:t>Doğruluk, kesinlik, duyarlılık, F1, makro ortalamalar ve ağırlıklı ortalamalar hesaplanmıştır. Ana ölçüt olarak makro F1 kullanılmıştır; çünkü bu ölçüt her sınıfın F1 değerini eşit ağırlıkla değerlendirir ve çoğunluk sınıfının başarıyı maskelemesini azaltır.</w:t>
      </w:r>
    </w:p>
    <w:p>
      <w:pPr>
        <w:spacing w:line="360" w:lineRule="auto" w:after="120"/>
        <w:ind w:firstLine="720"/>
        <w:jc w:val="both"/>
      </w:pPr>
      <w:r>
        <w:rPr>
          <w:rFonts w:ascii="Times New Roman" w:hAnsi="Times New Roman"/>
          <w:sz w:val="24"/>
        </w:rPr>
        <w:t>Doğruluk = doğru tahmin sayısı / toplam örnek sayısıdır. Bir sınıf için kesinlik, o sınıf olarak tahmin edilen örneklerin ne kadarının doğru olduğunu; duyarlılık ise gerçek sınıf örneklerinin ne kadarının yakalandığını gösterir. F1, kesinlik ve duyarlılığın harmonik ortalamasıdır. Makro F1, sınıf bazlı F1 değerlerinin aritmetik ortalamasıdır.</w:t>
      </w:r>
    </w:p>
    <w:p>
      <w:pPr>
        <w:pStyle w:val="Heading2"/>
        <w:spacing w:before="240" w:after="120"/>
      </w:pPr>
      <w:r>
        <w:rPr>
          <w:rFonts w:ascii="Times New Roman" w:hAnsi="Times New Roman"/>
        </w:rPr>
        <w:t>3.6. Etik ve Geçerlik Konuları</w:t>
      </w:r>
    </w:p>
    <w:p>
      <w:pPr>
        <w:spacing w:line="360" w:lineRule="auto" w:after="120"/>
        <w:ind w:firstLine="720"/>
        <w:jc w:val="both"/>
      </w:pPr>
      <w:r>
        <w:rPr>
          <w:rFonts w:ascii="Times New Roman" w:hAnsi="Times New Roman"/>
          <w:sz w:val="24"/>
        </w:rPr>
        <w:t>Veri setleri kamuya açık veya araştırma amaçlı kaynaklardan türetilmiştir. S&amp;P 500 ve Reuters setlerinde kullanılan anotasyon yönergeleri Ek C’de özetlenmiştir. Bununla birlikte mevcut proje kayıtlarında anotatör sayısı ve değerlendiriciler arası uyum katsayısı bulunmadığından anotasyon güvenilirliği nicel olarak doğrulanamamıştır. Bu durum çalışmanın geçerlik sınırlılıklarından biridir. Ayrıca eğitim deneyleri tek bir sabit rastgele tohumla yürütüldüğü için model sonuçlarının farklı başlangıçlar altındaki değişkenliği raporlanamamıştır.</w:t>
      </w:r>
    </w:p>
    <w:p>
      <w:pPr>
        <w:pStyle w:val="Heading1"/>
        <w:spacing w:before="240" w:after="120"/>
      </w:pPr>
      <w:r>
        <w:rPr>
          <w:rFonts w:ascii="Times New Roman" w:hAnsi="Times New Roman"/>
        </w:rPr>
        <w:t>4. BULGULAR</w:t>
      </w:r>
    </w:p>
    <w:p>
      <w:pPr>
        <w:pStyle w:val="Heading2"/>
        <w:spacing w:before="240" w:after="120"/>
      </w:pPr>
      <w:r>
        <w:rPr>
          <w:rFonts w:ascii="Times New Roman" w:hAnsi="Times New Roman"/>
        </w:rPr>
        <w:t>4.1. Hazır FinBERT Temel Model Sonuçları</w:t>
      </w:r>
    </w:p>
    <w:p>
      <w:pPr>
        <w:spacing w:line="360" w:lineRule="auto" w:after="120"/>
        <w:ind w:firstLine="720"/>
        <w:jc w:val="both"/>
      </w:pPr>
      <w:r>
        <w:rPr>
          <w:rFonts w:ascii="Times New Roman" w:hAnsi="Times New Roman"/>
          <w:sz w:val="24"/>
        </w:rPr>
        <w:t>Hazır ProsusAI/FinBERT modeli, 2.387 örnekli nihai iç test kümesinde 0,7323 doğruluk ve 0,6794 makro F1 elde etmiştir. Ağırlıklı F1 değeri 0,7400'dır. Doğruluk ile makro F1 arasındaki fark, sınıf dağılımı ve özellikle tarafsız sınıftaki performans sorununa işaret etmektedir.</w:t>
      </w:r>
    </w:p>
    <w:p>
      <w:pPr>
        <w:spacing w:line="360" w:lineRule="auto" w:after="120"/>
        <w:ind w:firstLine="720"/>
        <w:jc w:val="both"/>
      </w:pPr>
      <w:r>
        <w:rPr>
          <w:rFonts w:ascii="Times New Roman" w:hAnsi="Times New Roman"/>
          <w:sz w:val="24"/>
        </w:rPr>
        <w:t>Hata analizinde en belirgin örüntü, gerçek etiketi neutral olan çok sayıda örneğin yüksek güvenle negative olarak tahmin edilmesidir. Karışık bilgi içeren, açık piyasa yönü taşımayan veya yalnızca bilgilendirici nitelikteki haberlerde FinBERT olumsuz sözcüklere güçlü ağırlık vermiştir. Bu durum modelin Financial PhraseBank benzeri genel finansal ton mantığı ile hedef veri setinin piyasa yönü odaklı etiket mantığı arasındaki farkla açıklanmıştır.</w:t>
      </w:r>
    </w:p>
    <w:p>
      <w:pPr>
        <w:pStyle w:val="Heading2"/>
        <w:spacing w:before="240" w:after="120"/>
      </w:pPr>
      <w:r>
        <w:rPr>
          <w:rFonts w:ascii="Times New Roman" w:hAnsi="Times New Roman"/>
        </w:rPr>
        <w:t>4.2. İnce Ayarlı Modellerin İç Test Sonuçları</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rPr>
          <w:tblHeader w:val="true"/>
        </w:trPr>
        <w:tc>
          <w:tcPr>
            <w:tcW w:type="dxa" w:w="2381"/>
            <w:vAlign w:val="center"/>
            <w:shd w:fill="D9EAF7"/>
          </w:tcPr>
          <w:p>
            <w:pPr>
              <w:jc w:val="center"/>
            </w:pPr>
            <w:r>
              <w:rPr>
                <w:rFonts w:ascii="Times New Roman" w:hAnsi="Times New Roman"/>
                <w:b/>
                <w:sz w:val="18"/>
              </w:rPr>
            </w:r>
            <w:r>
              <w:rPr>
                <w:rFonts w:ascii="Times New Roman" w:hAnsi="Times New Roman"/>
                <w:b/>
                <w:sz w:val="18"/>
              </w:rPr>
              <w:t>Model</w:t>
            </w:r>
          </w:p>
        </w:tc>
        <w:tc>
          <w:tcPr>
            <w:tcW w:type="dxa" w:w="1701"/>
            <w:vAlign w:val="center"/>
            <w:shd w:fill="D9EAF7"/>
          </w:tcPr>
          <w:p>
            <w:pPr>
              <w:jc w:val="center"/>
            </w:pPr>
            <w:r>
              <w:rPr>
                <w:rFonts w:ascii="Times New Roman" w:hAnsi="Times New Roman"/>
                <w:b/>
                <w:sz w:val="18"/>
              </w:rPr>
            </w:r>
            <w:r>
              <w:rPr>
                <w:rFonts w:ascii="Times New Roman" w:hAnsi="Times New Roman"/>
                <w:b/>
                <w:sz w:val="18"/>
              </w:rPr>
              <w:t>Doğrulama doğruluğu</w:t>
            </w:r>
          </w:p>
        </w:tc>
        <w:tc>
          <w:tcPr>
            <w:tcW w:type="dxa" w:w="1701"/>
            <w:vAlign w:val="center"/>
            <w:shd w:fill="D9EAF7"/>
          </w:tcPr>
          <w:p>
            <w:pPr>
              <w:jc w:val="center"/>
            </w:pPr>
            <w:r>
              <w:rPr>
                <w:rFonts w:ascii="Times New Roman" w:hAnsi="Times New Roman"/>
                <w:b/>
                <w:sz w:val="18"/>
              </w:rPr>
            </w:r>
            <w:r>
              <w:rPr>
                <w:rFonts w:ascii="Times New Roman" w:hAnsi="Times New Roman"/>
                <w:b/>
                <w:sz w:val="18"/>
              </w:rPr>
              <w:t>Doğrulama Macro-F1</w:t>
            </w:r>
          </w:p>
        </w:tc>
        <w:tc>
          <w:tcPr>
            <w:tcW w:type="dxa" w:w="1701"/>
            <w:vAlign w:val="center"/>
            <w:shd w:fill="D9EAF7"/>
          </w:tcPr>
          <w:p>
            <w:pPr>
              <w:jc w:val="center"/>
            </w:pPr>
            <w:r>
              <w:rPr>
                <w:rFonts w:ascii="Times New Roman" w:hAnsi="Times New Roman"/>
                <w:b/>
                <w:sz w:val="18"/>
              </w:rPr>
            </w:r>
            <w:r>
              <w:rPr>
                <w:rFonts w:ascii="Times New Roman" w:hAnsi="Times New Roman"/>
                <w:b/>
                <w:sz w:val="18"/>
              </w:rPr>
              <w:t>Test doğruluğu</w:t>
            </w:r>
          </w:p>
        </w:tc>
        <w:tc>
          <w:tcPr>
            <w:tcW w:type="dxa" w:w="1701"/>
            <w:vAlign w:val="center"/>
            <w:shd w:fill="D9EAF7"/>
          </w:tcPr>
          <w:p>
            <w:pPr>
              <w:jc w:val="center"/>
            </w:pPr>
            <w:r>
              <w:rPr>
                <w:rFonts w:ascii="Times New Roman" w:hAnsi="Times New Roman"/>
                <w:b/>
                <w:sz w:val="18"/>
              </w:rPr>
            </w:r>
            <w:r>
              <w:rPr>
                <w:rFonts w:ascii="Times New Roman" w:hAnsi="Times New Roman"/>
                <w:b/>
                <w:sz w:val="18"/>
              </w:rPr>
              <w:t>Test Macro-F1</w:t>
            </w:r>
          </w:p>
        </w:tc>
        <w:tc>
          <w:tcPr>
            <w:tcW w:type="dxa" w:w="1701"/>
            <w:vAlign w:val="center"/>
            <w:shd w:fill="D9EAF7"/>
          </w:tcPr>
          <w:p>
            <w:pPr>
              <w:jc w:val="center"/>
            </w:pPr>
            <w:r>
              <w:rPr>
                <w:rFonts w:ascii="Times New Roman" w:hAnsi="Times New Roman"/>
                <w:b/>
                <w:sz w:val="18"/>
              </w:rPr>
            </w:r>
            <w:r>
              <w:rPr>
                <w:rFonts w:ascii="Times New Roman" w:hAnsi="Times New Roman"/>
                <w:b/>
                <w:sz w:val="18"/>
              </w:rPr>
              <w:t>Test Weighted-F1</w:t>
            </w:r>
          </w:p>
        </w:tc>
      </w:tr>
      <w:tr>
        <w:tc>
          <w:tcPr>
            <w:tcW w:type="dxa" w:w="2381"/>
            <w:vAlign w:val="center"/>
          </w:tcPr>
          <w:p>
            <w:pPr>
              <w:jc w:val="left"/>
            </w:pPr>
            <w:r>
              <w:rPr>
                <w:rFonts w:ascii="Times New Roman" w:hAnsi="Times New Roman"/>
                <w:sz w:val="18"/>
              </w:rPr>
            </w:r>
            <w:r>
              <w:rPr>
                <w:rFonts w:ascii="Times New Roman" w:hAnsi="Times New Roman"/>
                <w:b w:val="0"/>
                <w:sz w:val="18"/>
              </w:rPr>
              <w:t>RoBERTa-base</w:t>
            </w:r>
          </w:p>
        </w:tc>
        <w:tc>
          <w:tcPr>
            <w:tcW w:type="dxa" w:w="1701"/>
            <w:vAlign w:val="center"/>
          </w:tcPr>
          <w:p>
            <w:pPr>
              <w:jc w:val="left"/>
            </w:pPr>
            <w:r>
              <w:rPr>
                <w:rFonts w:ascii="Times New Roman" w:hAnsi="Times New Roman"/>
                <w:sz w:val="18"/>
              </w:rPr>
            </w:r>
            <w:r>
              <w:rPr>
                <w:rFonts w:ascii="Times New Roman" w:hAnsi="Times New Roman"/>
                <w:b w:val="0"/>
                <w:sz w:val="18"/>
              </w:rPr>
              <w:t>0,8939</w:t>
            </w:r>
          </w:p>
        </w:tc>
        <w:tc>
          <w:tcPr>
            <w:tcW w:type="dxa" w:w="1701"/>
            <w:vAlign w:val="center"/>
          </w:tcPr>
          <w:p>
            <w:pPr>
              <w:jc w:val="left"/>
            </w:pPr>
            <w:r>
              <w:rPr>
                <w:rFonts w:ascii="Times New Roman" w:hAnsi="Times New Roman"/>
                <w:sz w:val="18"/>
              </w:rPr>
            </w:r>
            <w:r>
              <w:rPr>
                <w:rFonts w:ascii="Times New Roman" w:hAnsi="Times New Roman"/>
                <w:b w:val="0"/>
                <w:sz w:val="18"/>
              </w:rPr>
              <w:t>0,8718</w:t>
            </w:r>
          </w:p>
        </w:tc>
        <w:tc>
          <w:tcPr>
            <w:tcW w:type="dxa" w:w="1701"/>
            <w:vAlign w:val="center"/>
          </w:tcPr>
          <w:p>
            <w:pPr>
              <w:jc w:val="left"/>
            </w:pPr>
            <w:r>
              <w:rPr>
                <w:rFonts w:ascii="Times New Roman" w:hAnsi="Times New Roman"/>
                <w:sz w:val="18"/>
              </w:rPr>
            </w:r>
            <w:r>
              <w:rPr>
                <w:rFonts w:ascii="Times New Roman" w:hAnsi="Times New Roman"/>
                <w:b w:val="0"/>
                <w:sz w:val="18"/>
              </w:rPr>
              <w:t>0,8906</w:t>
            </w:r>
          </w:p>
        </w:tc>
        <w:tc>
          <w:tcPr>
            <w:tcW w:type="dxa" w:w="1701"/>
            <w:vAlign w:val="center"/>
          </w:tcPr>
          <w:p>
            <w:pPr>
              <w:jc w:val="left"/>
            </w:pPr>
            <w:r>
              <w:rPr>
                <w:rFonts w:ascii="Times New Roman" w:hAnsi="Times New Roman"/>
                <w:sz w:val="18"/>
              </w:rPr>
            </w:r>
            <w:r>
              <w:rPr>
                <w:rFonts w:ascii="Times New Roman" w:hAnsi="Times New Roman"/>
                <w:b w:val="0"/>
                <w:sz w:val="18"/>
              </w:rPr>
              <w:t>0,8651</w:t>
            </w:r>
          </w:p>
        </w:tc>
        <w:tc>
          <w:tcPr>
            <w:tcW w:type="dxa" w:w="1701"/>
            <w:vAlign w:val="center"/>
          </w:tcPr>
          <w:p>
            <w:pPr>
              <w:jc w:val="left"/>
            </w:pPr>
            <w:r>
              <w:rPr>
                <w:rFonts w:ascii="Times New Roman" w:hAnsi="Times New Roman"/>
                <w:sz w:val="18"/>
              </w:rPr>
            </w:r>
            <w:r>
              <w:rPr>
                <w:rFonts w:ascii="Times New Roman" w:hAnsi="Times New Roman"/>
                <w:b w:val="0"/>
                <w:sz w:val="18"/>
              </w:rPr>
              <w:t>0,8918</w:t>
            </w:r>
          </w:p>
        </w:tc>
      </w:tr>
      <w:tr>
        <w:tc>
          <w:tcPr>
            <w:tcW w:type="dxa" w:w="2381"/>
            <w:vAlign w:val="center"/>
          </w:tcPr>
          <w:p>
            <w:pPr>
              <w:jc w:val="left"/>
            </w:pPr>
            <w:r>
              <w:rPr>
                <w:rFonts w:ascii="Times New Roman" w:hAnsi="Times New Roman"/>
                <w:sz w:val="18"/>
              </w:rPr>
            </w:r>
            <w:r>
              <w:rPr>
                <w:rFonts w:ascii="Times New Roman" w:hAnsi="Times New Roman"/>
                <w:b w:val="0"/>
                <w:sz w:val="18"/>
              </w:rPr>
              <w:t>BERT-base-uncased</w:t>
            </w:r>
          </w:p>
        </w:tc>
        <w:tc>
          <w:tcPr>
            <w:tcW w:type="dxa" w:w="1701"/>
            <w:vAlign w:val="center"/>
          </w:tcPr>
          <w:p>
            <w:pPr>
              <w:jc w:val="left"/>
            </w:pPr>
            <w:r>
              <w:rPr>
                <w:rFonts w:ascii="Times New Roman" w:hAnsi="Times New Roman"/>
                <w:sz w:val="18"/>
              </w:rPr>
            </w:r>
            <w:r>
              <w:rPr>
                <w:rFonts w:ascii="Times New Roman" w:hAnsi="Times New Roman"/>
                <w:b w:val="0"/>
                <w:sz w:val="18"/>
              </w:rPr>
              <w:t>0,8820</w:t>
            </w:r>
          </w:p>
        </w:tc>
        <w:tc>
          <w:tcPr>
            <w:tcW w:type="dxa" w:w="1701"/>
            <w:vAlign w:val="center"/>
          </w:tcPr>
          <w:p>
            <w:pPr>
              <w:jc w:val="left"/>
            </w:pPr>
            <w:r>
              <w:rPr>
                <w:rFonts w:ascii="Times New Roman" w:hAnsi="Times New Roman"/>
                <w:sz w:val="18"/>
              </w:rPr>
            </w:r>
            <w:r>
              <w:rPr>
                <w:rFonts w:ascii="Times New Roman" w:hAnsi="Times New Roman"/>
                <w:b w:val="0"/>
                <w:sz w:val="18"/>
              </w:rPr>
              <w:t>0,8535</w:t>
            </w:r>
          </w:p>
        </w:tc>
        <w:tc>
          <w:tcPr>
            <w:tcW w:type="dxa" w:w="1701"/>
            <w:vAlign w:val="center"/>
          </w:tcPr>
          <w:p>
            <w:pPr>
              <w:jc w:val="left"/>
            </w:pPr>
            <w:r>
              <w:rPr>
                <w:rFonts w:ascii="Times New Roman" w:hAnsi="Times New Roman"/>
                <w:sz w:val="18"/>
              </w:rPr>
            </w:r>
            <w:r>
              <w:rPr>
                <w:rFonts w:ascii="Times New Roman" w:hAnsi="Times New Roman"/>
                <w:b w:val="0"/>
                <w:sz w:val="18"/>
              </w:rPr>
              <w:t>0,8722</w:t>
            </w:r>
          </w:p>
        </w:tc>
        <w:tc>
          <w:tcPr>
            <w:tcW w:type="dxa" w:w="1701"/>
            <w:vAlign w:val="center"/>
          </w:tcPr>
          <w:p>
            <w:pPr>
              <w:jc w:val="left"/>
            </w:pPr>
            <w:r>
              <w:rPr>
                <w:rFonts w:ascii="Times New Roman" w:hAnsi="Times New Roman"/>
                <w:sz w:val="18"/>
              </w:rPr>
            </w:r>
            <w:r>
              <w:rPr>
                <w:rFonts w:ascii="Times New Roman" w:hAnsi="Times New Roman"/>
                <w:b w:val="0"/>
                <w:sz w:val="18"/>
              </w:rPr>
              <w:t>0,8378</w:t>
            </w:r>
          </w:p>
        </w:tc>
        <w:tc>
          <w:tcPr>
            <w:tcW w:type="dxa" w:w="1701"/>
            <w:vAlign w:val="center"/>
          </w:tcPr>
          <w:p>
            <w:pPr>
              <w:jc w:val="left"/>
            </w:pPr>
            <w:r>
              <w:rPr>
                <w:rFonts w:ascii="Times New Roman" w:hAnsi="Times New Roman"/>
                <w:sz w:val="18"/>
              </w:rPr>
            </w:r>
            <w:r>
              <w:rPr>
                <w:rFonts w:ascii="Times New Roman" w:hAnsi="Times New Roman"/>
                <w:b w:val="0"/>
                <w:sz w:val="18"/>
              </w:rPr>
              <w:t>0,8733</w:t>
            </w:r>
          </w:p>
        </w:tc>
      </w:tr>
      <w:tr>
        <w:tc>
          <w:tcPr>
            <w:tcW w:type="dxa" w:w="2381"/>
            <w:vAlign w:val="center"/>
          </w:tcPr>
          <w:p>
            <w:pPr>
              <w:jc w:val="left"/>
            </w:pPr>
            <w:r>
              <w:rPr>
                <w:rFonts w:ascii="Times New Roman" w:hAnsi="Times New Roman"/>
                <w:sz w:val="18"/>
              </w:rPr>
            </w:r>
            <w:r>
              <w:rPr>
                <w:rFonts w:ascii="Times New Roman" w:hAnsi="Times New Roman"/>
                <w:b w:val="0"/>
                <w:sz w:val="18"/>
              </w:rPr>
              <w:t>DistilBERT-base-uncased</w:t>
            </w:r>
          </w:p>
        </w:tc>
        <w:tc>
          <w:tcPr>
            <w:tcW w:type="dxa" w:w="1701"/>
            <w:vAlign w:val="center"/>
          </w:tcPr>
          <w:p>
            <w:pPr>
              <w:jc w:val="left"/>
            </w:pPr>
            <w:r>
              <w:rPr>
                <w:rFonts w:ascii="Times New Roman" w:hAnsi="Times New Roman"/>
                <w:sz w:val="18"/>
              </w:rPr>
            </w:r>
            <w:r>
              <w:rPr>
                <w:rFonts w:ascii="Times New Roman" w:hAnsi="Times New Roman"/>
                <w:b w:val="0"/>
                <w:sz w:val="18"/>
              </w:rPr>
              <w:t>0,8792</w:t>
            </w:r>
          </w:p>
        </w:tc>
        <w:tc>
          <w:tcPr>
            <w:tcW w:type="dxa" w:w="1701"/>
            <w:vAlign w:val="center"/>
          </w:tcPr>
          <w:p>
            <w:pPr>
              <w:jc w:val="left"/>
            </w:pPr>
            <w:r>
              <w:rPr>
                <w:rFonts w:ascii="Times New Roman" w:hAnsi="Times New Roman"/>
                <w:sz w:val="18"/>
              </w:rPr>
            </w:r>
            <w:r>
              <w:rPr>
                <w:rFonts w:ascii="Times New Roman" w:hAnsi="Times New Roman"/>
                <w:b w:val="0"/>
                <w:sz w:val="18"/>
              </w:rPr>
              <w:t>0,8426</w:t>
            </w:r>
          </w:p>
        </w:tc>
        <w:tc>
          <w:tcPr>
            <w:tcW w:type="dxa" w:w="1701"/>
            <w:vAlign w:val="center"/>
          </w:tcPr>
          <w:p>
            <w:pPr>
              <w:jc w:val="left"/>
            </w:pPr>
            <w:r>
              <w:rPr>
                <w:rFonts w:ascii="Times New Roman" w:hAnsi="Times New Roman"/>
                <w:sz w:val="18"/>
              </w:rPr>
            </w:r>
            <w:r>
              <w:rPr>
                <w:rFonts w:ascii="Times New Roman" w:hAnsi="Times New Roman"/>
                <w:b w:val="0"/>
                <w:sz w:val="18"/>
              </w:rPr>
              <w:t>0,8583</w:t>
            </w:r>
          </w:p>
        </w:tc>
        <w:tc>
          <w:tcPr>
            <w:tcW w:type="dxa" w:w="1701"/>
            <w:vAlign w:val="center"/>
          </w:tcPr>
          <w:p>
            <w:pPr>
              <w:jc w:val="left"/>
            </w:pPr>
            <w:r>
              <w:rPr>
                <w:rFonts w:ascii="Times New Roman" w:hAnsi="Times New Roman"/>
                <w:sz w:val="18"/>
              </w:rPr>
            </w:r>
            <w:r>
              <w:rPr>
                <w:rFonts w:ascii="Times New Roman" w:hAnsi="Times New Roman"/>
                <w:b w:val="0"/>
                <w:sz w:val="18"/>
              </w:rPr>
              <w:t>0,8218</w:t>
            </w:r>
          </w:p>
        </w:tc>
        <w:tc>
          <w:tcPr>
            <w:tcW w:type="dxa" w:w="1701"/>
            <w:vAlign w:val="center"/>
          </w:tcPr>
          <w:p>
            <w:pPr>
              <w:jc w:val="left"/>
            </w:pPr>
            <w:r>
              <w:rPr>
                <w:rFonts w:ascii="Times New Roman" w:hAnsi="Times New Roman"/>
                <w:sz w:val="18"/>
              </w:rPr>
            </w:r>
            <w:r>
              <w:rPr>
                <w:rFonts w:ascii="Times New Roman" w:hAnsi="Times New Roman"/>
                <w:b w:val="0"/>
                <w:sz w:val="18"/>
              </w:rPr>
              <w:t>0,8593</w:t>
            </w:r>
          </w:p>
        </w:tc>
      </w:tr>
      <w:tr>
        <w:tc>
          <w:tcPr>
            <w:tcW w:type="dxa" w:w="2381"/>
            <w:vAlign w:val="center"/>
          </w:tcPr>
          <w:p>
            <w:pPr>
              <w:jc w:val="left"/>
            </w:pPr>
            <w:r>
              <w:rPr>
                <w:rFonts w:ascii="Times New Roman" w:hAnsi="Times New Roman"/>
                <w:sz w:val="18"/>
              </w:rPr>
            </w:r>
            <w:r>
              <w:rPr>
                <w:rFonts w:ascii="Times New Roman" w:hAnsi="Times New Roman"/>
                <w:b w:val="0"/>
                <w:sz w:val="18"/>
              </w:rPr>
              <w:t>Original FinBERT</w:t>
            </w:r>
          </w:p>
        </w:tc>
        <w:tc>
          <w:tcPr>
            <w:tcW w:type="dxa" w:w="1701"/>
            <w:vAlign w:val="center"/>
          </w:tcPr>
          <w:p>
            <w:pPr>
              <w:jc w:val="left"/>
            </w:pPr>
            <w:r>
              <w:rPr>
                <w:rFonts w:ascii="Times New Roman" w:hAnsi="Times New Roman"/>
                <w:sz w:val="18"/>
              </w:rPr>
            </w:r>
            <w:r>
              <w:rPr>
                <w:rFonts w:ascii="Times New Roman" w:hAnsi="Times New Roman"/>
                <w:b w:val="0"/>
                <w:sz w:val="18"/>
              </w:rPr>
              <w:t>-</w:t>
            </w:r>
          </w:p>
        </w:tc>
        <w:tc>
          <w:tcPr>
            <w:tcW w:type="dxa" w:w="1701"/>
            <w:vAlign w:val="center"/>
          </w:tcPr>
          <w:p>
            <w:pPr>
              <w:jc w:val="left"/>
            </w:pPr>
            <w:r>
              <w:rPr>
                <w:rFonts w:ascii="Times New Roman" w:hAnsi="Times New Roman"/>
                <w:sz w:val="18"/>
              </w:rPr>
            </w:r>
            <w:r>
              <w:rPr>
                <w:rFonts w:ascii="Times New Roman" w:hAnsi="Times New Roman"/>
                <w:b w:val="0"/>
                <w:sz w:val="18"/>
              </w:rPr>
              <w:t>-</w:t>
            </w:r>
          </w:p>
        </w:tc>
        <w:tc>
          <w:tcPr>
            <w:tcW w:type="dxa" w:w="1701"/>
            <w:vAlign w:val="center"/>
          </w:tcPr>
          <w:p>
            <w:pPr>
              <w:jc w:val="left"/>
            </w:pPr>
            <w:r>
              <w:rPr>
                <w:rFonts w:ascii="Times New Roman" w:hAnsi="Times New Roman"/>
                <w:sz w:val="18"/>
              </w:rPr>
            </w:r>
            <w:r>
              <w:rPr>
                <w:rFonts w:ascii="Times New Roman" w:hAnsi="Times New Roman"/>
                <w:b w:val="0"/>
                <w:sz w:val="18"/>
              </w:rPr>
              <w:t>0,7323</w:t>
            </w:r>
          </w:p>
        </w:tc>
        <w:tc>
          <w:tcPr>
            <w:tcW w:type="dxa" w:w="1701"/>
            <w:vAlign w:val="center"/>
          </w:tcPr>
          <w:p>
            <w:pPr>
              <w:jc w:val="left"/>
            </w:pPr>
            <w:r>
              <w:rPr>
                <w:rFonts w:ascii="Times New Roman" w:hAnsi="Times New Roman"/>
                <w:sz w:val="18"/>
              </w:rPr>
            </w:r>
            <w:r>
              <w:rPr>
                <w:rFonts w:ascii="Times New Roman" w:hAnsi="Times New Roman"/>
                <w:b w:val="0"/>
                <w:sz w:val="18"/>
              </w:rPr>
              <w:t>0,6794</w:t>
            </w:r>
          </w:p>
        </w:tc>
        <w:tc>
          <w:tcPr>
            <w:tcW w:type="dxa" w:w="1701"/>
            <w:vAlign w:val="center"/>
          </w:tcPr>
          <w:p>
            <w:pPr>
              <w:jc w:val="left"/>
            </w:pPr>
            <w:r>
              <w:rPr>
                <w:rFonts w:ascii="Times New Roman" w:hAnsi="Times New Roman"/>
                <w:sz w:val="18"/>
              </w:rPr>
            </w:r>
            <w:r>
              <w:rPr>
                <w:rFonts w:ascii="Times New Roman" w:hAnsi="Times New Roman"/>
                <w:b w:val="0"/>
                <w:sz w:val="18"/>
              </w:rPr>
              <w:t>0,7400</w:t>
            </w:r>
          </w:p>
        </w:tc>
      </w:tr>
    </w:tbl>
    <w:p>
      <w:pPr>
        <w:spacing w:line="360" w:lineRule="auto" w:after="120"/>
        <w:jc w:val="both"/>
      </w:pPr>
    </w:p>
    <w:p>
      <w:pPr>
        <w:spacing w:line="360" w:lineRule="auto" w:after="120"/>
        <w:jc w:val="both"/>
      </w:pPr>
      <w:r>
        <w:rPr>
          <w:rFonts w:ascii="Times New Roman" w:hAnsi="Times New Roman"/>
          <w:sz w:val="24"/>
        </w:rPr>
        <w:drawing>
          <ns2:inline>
            <ns2:extent cx="5669280" cy="3330702"/>
            <ns2:docPr id="1" name="Picture 1"/>
            <ns2:cNvGraphicFramePr>
              <ns3:graphicFrameLocks noChangeAspect="1"/>
            </ns2:cNvGraphicFramePr>
            <ns3:graphic>
              <ns3:graphicData uri="http://schemas.openxmlformats.org/drawingml/2006/picture">
                <ns4:pic>
                  <ns4:nvPicPr>
                    <ns4:cNvPr id="0" name="internal_accuracy.png"/>
                    <ns4:cNvPicPr/>
                  </ns4:nvPicPr>
                  <ns4:blipFill>
                    <ns3:blip ns5:embed="rId9"/>
                    <ns3:stretch>
                      <ns3:fillRect/>
                    </ns3:stretch>
                  </ns4:blipFill>
                  <ns4:spPr>
                    <ns3:xfrm>
                      <ns3:off x="0" y="0"/>
                      <ns3:ext cx="5669280" cy="3330702"/>
                    </ns3:xfrm>
                    <ns3:prstGeom prst="rect"/>
                  </ns4:spPr>
                </ns4:pic>
              </ns3:graphicData>
            </ns3:graphic>
          </ns2:inline>
        </w:drawing>
      </w:r>
    </w:p>
    <w:p>
      <w:pPr>
        <w:spacing w:line="360" w:lineRule="auto" w:after="120"/>
        <w:jc w:val="both"/>
      </w:pPr>
      <w:r>
        <w:rPr>
          <w:rFonts w:ascii="Times New Roman" w:hAnsi="Times New Roman"/>
          <w:b/>
          <w:sz w:val="20"/>
        </w:rPr>
        <w:t>Şekil 1. Modellerin iç test doğruluk sonuçları</w:t>
      </w:r>
    </w:p>
    <w:p>
      <w:pPr>
        <w:spacing w:line="360" w:lineRule="auto" w:after="120"/>
        <w:ind w:firstLine="720"/>
        <w:jc w:val="both"/>
      </w:pPr>
      <w:r>
        <w:rPr>
          <w:rFonts w:ascii="Times New Roman" w:hAnsi="Times New Roman"/>
          <w:sz w:val="24"/>
        </w:rPr>
        <w:t>İnce ayarlı üç model de hazır FinBERT'i belirgin biçimde geçmiştir. En yüksek sonuç RoBERTa-base modelinde elde edilmiş; RoBERTa'nın FinBERT'e göre makro F1 artışı 0,1857 puan olmuştur. BERT güçlü ikinci sırada yer alırken DistilBERT daha düşük fakat hâlâ FinBERT'ten yüksek performans göstermiştir.</w:t>
      </w:r>
    </w:p>
    <w:p>
      <w:pPr>
        <w:pStyle w:val="Heading2"/>
        <w:spacing w:before="240" w:after="120"/>
      </w:pPr>
      <w:r>
        <w:rPr>
          <w:rFonts w:ascii="Times New Roman" w:hAnsi="Times New Roman"/>
        </w:rPr>
        <w:t>4.3. S&amp;P 500 Dış Test Sonuçları</w:t>
      </w:r>
    </w:p>
    <w:tbl>
      <w:tblPr>
        <w:tblStyle w:val="TableGrid"/>
        <w:tblW w:type="auto" w:w="0"/>
        <w:jc w:val="center"/>
        <w:tblLook w:firstColumn="1" w:firstRow="1" w:lastColumn="0" w:lastRow="0" w:noHBand="0" w:noVBand="1" w:val="04A0"/>
      </w:tblPr>
      <w:tblGrid>
        <w:gridCol w:w="2210"/>
        <w:gridCol w:w="2210"/>
        <w:gridCol w:w="2210"/>
        <w:gridCol w:w="2210"/>
      </w:tblGrid>
      <w:tr>
        <w:trPr>
          <w:tblHeader w:val="true"/>
        </w:trPr>
        <w:tc>
          <w:tcPr>
            <w:tcW w:type="dxa" w:w="3402"/>
            <w:vAlign w:val="center"/>
            <w:shd w:fill="D9EAF7"/>
          </w:tcPr>
          <w:p>
            <w:pPr>
              <w:jc w:val="center"/>
            </w:pPr>
            <w:r>
              <w:rPr>
                <w:rFonts w:ascii="Times New Roman" w:hAnsi="Times New Roman"/>
                <w:b/>
                <w:sz w:val="18"/>
              </w:rPr>
            </w:r>
            <w:r>
              <w:rPr>
                <w:rFonts w:ascii="Times New Roman" w:hAnsi="Times New Roman"/>
                <w:b/>
                <w:sz w:val="18"/>
              </w:rPr>
              <w:t>Model</w:t>
            </w:r>
          </w:p>
        </w:tc>
        <w:tc>
          <w:tcPr>
            <w:tcW w:type="dxa" w:w="1701"/>
            <w:vAlign w:val="center"/>
            <w:shd w:fill="D9EAF7"/>
          </w:tcPr>
          <w:p>
            <w:pPr>
              <w:jc w:val="center"/>
            </w:pPr>
            <w:r>
              <w:rPr>
                <w:rFonts w:ascii="Times New Roman" w:hAnsi="Times New Roman"/>
                <w:b/>
                <w:sz w:val="18"/>
              </w:rPr>
            </w:r>
            <w:r>
              <w:rPr>
                <w:rFonts w:ascii="Times New Roman" w:hAnsi="Times New Roman"/>
                <w:b/>
                <w:sz w:val="18"/>
              </w:rPr>
              <w:t>Doğruluk</w:t>
            </w:r>
          </w:p>
        </w:tc>
        <w:tc>
          <w:tcPr>
            <w:tcW w:type="dxa" w:w="1701"/>
            <w:vAlign w:val="center"/>
            <w:shd w:fill="D9EAF7"/>
          </w:tcPr>
          <w:p>
            <w:pPr>
              <w:jc w:val="center"/>
            </w:pPr>
            <w:r>
              <w:rPr>
                <w:rFonts w:ascii="Times New Roman" w:hAnsi="Times New Roman"/>
                <w:b/>
                <w:sz w:val="18"/>
              </w:rPr>
            </w:r>
            <w:r>
              <w:rPr>
                <w:rFonts w:ascii="Times New Roman" w:hAnsi="Times New Roman"/>
                <w:b/>
                <w:sz w:val="18"/>
              </w:rPr>
              <w:t>Macro-F1</w:t>
            </w:r>
          </w:p>
        </w:tc>
        <w:tc>
          <w:tcPr>
            <w:tcW w:type="dxa" w:w="1701"/>
            <w:vAlign w:val="center"/>
            <w:shd w:fill="D9EAF7"/>
          </w:tcPr>
          <w:p>
            <w:pPr>
              <w:jc w:val="center"/>
            </w:pPr>
            <w:r>
              <w:rPr>
                <w:rFonts w:ascii="Times New Roman" w:hAnsi="Times New Roman"/>
                <w:b/>
                <w:sz w:val="18"/>
              </w:rPr>
            </w:r>
            <w:r>
              <w:rPr>
                <w:rFonts w:ascii="Times New Roman" w:hAnsi="Times New Roman"/>
                <w:b/>
                <w:sz w:val="18"/>
              </w:rPr>
              <w:t>Weighted-F1</w:t>
            </w:r>
          </w:p>
        </w:tc>
      </w:tr>
      <w:tr>
        <w:tc>
          <w:tcPr>
            <w:tcW w:type="dxa" w:w="3402"/>
            <w:vAlign w:val="center"/>
          </w:tcPr>
          <w:p>
            <w:pPr>
              <w:jc w:val="left"/>
            </w:pPr>
            <w:r>
              <w:rPr>
                <w:rFonts w:ascii="Times New Roman" w:hAnsi="Times New Roman"/>
                <w:sz w:val="18"/>
              </w:rPr>
            </w:r>
            <w:r>
              <w:rPr>
                <w:rFonts w:ascii="Times New Roman" w:hAnsi="Times New Roman"/>
                <w:b w:val="0"/>
                <w:sz w:val="18"/>
              </w:rPr>
              <w:t>RoBERTa-base</w:t>
            </w:r>
          </w:p>
        </w:tc>
        <w:tc>
          <w:tcPr>
            <w:tcW w:type="dxa" w:w="1701"/>
            <w:vAlign w:val="center"/>
          </w:tcPr>
          <w:p>
            <w:pPr>
              <w:jc w:val="left"/>
            </w:pPr>
            <w:r>
              <w:rPr>
                <w:rFonts w:ascii="Times New Roman" w:hAnsi="Times New Roman"/>
                <w:sz w:val="18"/>
              </w:rPr>
            </w:r>
            <w:r>
              <w:rPr>
                <w:rFonts w:ascii="Times New Roman" w:hAnsi="Times New Roman"/>
                <w:b w:val="0"/>
                <w:sz w:val="18"/>
              </w:rPr>
              <w:t>0,8125</w:t>
            </w:r>
          </w:p>
        </w:tc>
        <w:tc>
          <w:tcPr>
            <w:tcW w:type="dxa" w:w="1701"/>
            <w:vAlign w:val="center"/>
          </w:tcPr>
          <w:p>
            <w:pPr>
              <w:jc w:val="left"/>
            </w:pPr>
            <w:r>
              <w:rPr>
                <w:rFonts w:ascii="Times New Roman" w:hAnsi="Times New Roman"/>
                <w:sz w:val="18"/>
              </w:rPr>
            </w:r>
            <w:r>
              <w:rPr>
                <w:rFonts w:ascii="Times New Roman" w:hAnsi="Times New Roman"/>
                <w:b w:val="0"/>
                <w:sz w:val="18"/>
              </w:rPr>
              <w:t>0,8138</w:t>
            </w:r>
          </w:p>
        </w:tc>
        <w:tc>
          <w:tcPr>
            <w:tcW w:type="dxa" w:w="1701"/>
            <w:vAlign w:val="center"/>
          </w:tcPr>
          <w:p>
            <w:pPr>
              <w:jc w:val="left"/>
            </w:pPr>
            <w:r>
              <w:rPr>
                <w:rFonts w:ascii="Times New Roman" w:hAnsi="Times New Roman"/>
                <w:sz w:val="18"/>
              </w:rPr>
            </w:r>
            <w:r>
              <w:rPr>
                <w:rFonts w:ascii="Times New Roman" w:hAnsi="Times New Roman"/>
                <w:b w:val="0"/>
                <w:sz w:val="18"/>
              </w:rPr>
              <w:t>0,8146</w:t>
            </w:r>
          </w:p>
        </w:tc>
      </w:tr>
      <w:tr>
        <w:tc>
          <w:tcPr>
            <w:tcW w:type="dxa" w:w="3402"/>
            <w:vAlign w:val="center"/>
          </w:tcPr>
          <w:p>
            <w:pPr>
              <w:jc w:val="left"/>
            </w:pPr>
            <w:r>
              <w:rPr>
                <w:rFonts w:ascii="Times New Roman" w:hAnsi="Times New Roman"/>
                <w:sz w:val="18"/>
              </w:rPr>
            </w:r>
            <w:r>
              <w:rPr>
                <w:rFonts w:ascii="Times New Roman" w:hAnsi="Times New Roman"/>
                <w:b w:val="0"/>
                <w:sz w:val="18"/>
              </w:rPr>
              <w:t>Original FinBERT</w:t>
            </w:r>
          </w:p>
        </w:tc>
        <w:tc>
          <w:tcPr>
            <w:tcW w:type="dxa" w:w="1701"/>
            <w:vAlign w:val="center"/>
          </w:tcPr>
          <w:p>
            <w:pPr>
              <w:jc w:val="left"/>
            </w:pPr>
            <w:r>
              <w:rPr>
                <w:rFonts w:ascii="Times New Roman" w:hAnsi="Times New Roman"/>
                <w:sz w:val="18"/>
              </w:rPr>
            </w:r>
            <w:r>
              <w:rPr>
                <w:rFonts w:ascii="Times New Roman" w:hAnsi="Times New Roman"/>
                <w:b w:val="0"/>
                <w:sz w:val="18"/>
              </w:rPr>
              <w:t>0,7583</w:t>
            </w:r>
          </w:p>
        </w:tc>
        <w:tc>
          <w:tcPr>
            <w:tcW w:type="dxa" w:w="1701"/>
            <w:vAlign w:val="center"/>
          </w:tcPr>
          <w:p>
            <w:pPr>
              <w:jc w:val="left"/>
            </w:pPr>
            <w:r>
              <w:rPr>
                <w:rFonts w:ascii="Times New Roman" w:hAnsi="Times New Roman"/>
                <w:sz w:val="18"/>
              </w:rPr>
            </w:r>
            <w:r>
              <w:rPr>
                <w:rFonts w:ascii="Times New Roman" w:hAnsi="Times New Roman"/>
                <w:b w:val="0"/>
                <w:sz w:val="18"/>
              </w:rPr>
              <w:t>0,7585</w:t>
            </w:r>
          </w:p>
        </w:tc>
        <w:tc>
          <w:tcPr>
            <w:tcW w:type="dxa" w:w="1701"/>
            <w:vAlign w:val="center"/>
          </w:tcPr>
          <w:p>
            <w:pPr>
              <w:jc w:val="left"/>
            </w:pPr>
            <w:r>
              <w:rPr>
                <w:rFonts w:ascii="Times New Roman" w:hAnsi="Times New Roman"/>
                <w:sz w:val="18"/>
              </w:rPr>
            </w:r>
            <w:r>
              <w:rPr>
                <w:rFonts w:ascii="Times New Roman" w:hAnsi="Times New Roman"/>
                <w:b w:val="0"/>
                <w:sz w:val="18"/>
              </w:rPr>
              <w:t>0,7579</w:t>
            </w:r>
          </w:p>
        </w:tc>
      </w:tr>
      <w:tr>
        <w:tc>
          <w:tcPr>
            <w:tcW w:type="dxa" w:w="3402"/>
            <w:vAlign w:val="center"/>
          </w:tcPr>
          <w:p>
            <w:pPr>
              <w:jc w:val="left"/>
            </w:pPr>
            <w:r>
              <w:rPr>
                <w:rFonts w:ascii="Times New Roman" w:hAnsi="Times New Roman"/>
                <w:sz w:val="18"/>
              </w:rPr>
            </w:r>
            <w:r>
              <w:rPr>
                <w:rFonts w:ascii="Times New Roman" w:hAnsi="Times New Roman"/>
                <w:b w:val="0"/>
                <w:sz w:val="18"/>
              </w:rPr>
              <w:t>DistilBERT-base-uncased</w:t>
            </w:r>
          </w:p>
        </w:tc>
        <w:tc>
          <w:tcPr>
            <w:tcW w:type="dxa" w:w="1701"/>
            <w:vAlign w:val="center"/>
          </w:tcPr>
          <w:p>
            <w:pPr>
              <w:jc w:val="left"/>
            </w:pPr>
            <w:r>
              <w:rPr>
                <w:rFonts w:ascii="Times New Roman" w:hAnsi="Times New Roman"/>
                <w:sz w:val="18"/>
              </w:rPr>
            </w:r>
            <w:r>
              <w:rPr>
                <w:rFonts w:ascii="Times New Roman" w:hAnsi="Times New Roman"/>
                <w:b w:val="0"/>
                <w:sz w:val="18"/>
              </w:rPr>
              <w:t>[notebook sonucu]</w:t>
            </w:r>
          </w:p>
        </w:tc>
        <w:tc>
          <w:tcPr>
            <w:tcW w:type="dxa" w:w="1701"/>
            <w:vAlign w:val="center"/>
          </w:tcPr>
          <w:p>
            <w:pPr>
              <w:jc w:val="left"/>
            </w:pPr>
            <w:r>
              <w:rPr>
                <w:rFonts w:ascii="Times New Roman" w:hAnsi="Times New Roman"/>
                <w:sz w:val="18"/>
              </w:rPr>
            </w:r>
            <w:r>
              <w:rPr>
                <w:rFonts w:ascii="Times New Roman" w:hAnsi="Times New Roman"/>
                <w:b w:val="0"/>
                <w:sz w:val="18"/>
              </w:rPr>
              <w:t>0,7523</w:t>
            </w:r>
          </w:p>
        </w:tc>
        <w:tc>
          <w:tcPr>
            <w:tcW w:type="dxa" w:w="1701"/>
            <w:vAlign w:val="center"/>
          </w:tcPr>
          <w:p>
            <w:pPr>
              <w:jc w:val="left"/>
            </w:pPr>
            <w:r>
              <w:rPr>
                <w:rFonts w:ascii="Times New Roman" w:hAnsi="Times New Roman"/>
                <w:sz w:val="18"/>
              </w:rPr>
            </w:r>
            <w:r>
              <w:rPr>
                <w:rFonts w:ascii="Times New Roman" w:hAnsi="Times New Roman"/>
                <w:b w:val="0"/>
                <w:sz w:val="18"/>
              </w:rPr>
              <w:t>[notebook sonucu]</w:t>
            </w:r>
          </w:p>
        </w:tc>
      </w:tr>
      <w:tr>
        <w:tc>
          <w:tcPr>
            <w:tcW w:type="dxa" w:w="3402"/>
            <w:vAlign w:val="center"/>
          </w:tcPr>
          <w:p>
            <w:pPr>
              <w:jc w:val="left"/>
            </w:pPr>
            <w:r>
              <w:rPr>
                <w:rFonts w:ascii="Times New Roman" w:hAnsi="Times New Roman"/>
                <w:sz w:val="18"/>
              </w:rPr>
            </w:r>
            <w:r>
              <w:rPr>
                <w:rFonts w:ascii="Times New Roman" w:hAnsi="Times New Roman"/>
                <w:b w:val="0"/>
                <w:sz w:val="18"/>
              </w:rPr>
              <w:t>BERT-base-uncased</w:t>
            </w:r>
          </w:p>
        </w:tc>
        <w:tc>
          <w:tcPr>
            <w:tcW w:type="dxa" w:w="1701"/>
            <w:vAlign w:val="center"/>
          </w:tcPr>
          <w:p>
            <w:pPr>
              <w:jc w:val="left"/>
            </w:pPr>
            <w:r>
              <w:rPr>
                <w:rFonts w:ascii="Times New Roman" w:hAnsi="Times New Roman"/>
                <w:sz w:val="18"/>
              </w:rPr>
            </w:r>
            <w:r>
              <w:rPr>
                <w:rFonts w:ascii="Times New Roman" w:hAnsi="Times New Roman"/>
                <w:b w:val="0"/>
                <w:sz w:val="18"/>
              </w:rPr>
              <w:t>[notebook sonucu]</w:t>
            </w:r>
          </w:p>
        </w:tc>
        <w:tc>
          <w:tcPr>
            <w:tcW w:type="dxa" w:w="1701"/>
            <w:vAlign w:val="center"/>
          </w:tcPr>
          <w:p>
            <w:pPr>
              <w:jc w:val="left"/>
            </w:pPr>
            <w:r>
              <w:rPr>
                <w:rFonts w:ascii="Times New Roman" w:hAnsi="Times New Roman"/>
                <w:sz w:val="18"/>
              </w:rPr>
            </w:r>
            <w:r>
              <w:rPr>
                <w:rFonts w:ascii="Times New Roman" w:hAnsi="Times New Roman"/>
                <w:b w:val="0"/>
                <w:sz w:val="18"/>
              </w:rPr>
              <w:t>0,7511</w:t>
            </w:r>
          </w:p>
        </w:tc>
        <w:tc>
          <w:tcPr>
            <w:tcW w:type="dxa" w:w="1701"/>
            <w:vAlign w:val="center"/>
          </w:tcPr>
          <w:p>
            <w:pPr>
              <w:jc w:val="left"/>
            </w:pPr>
            <w:r>
              <w:rPr>
                <w:rFonts w:ascii="Times New Roman" w:hAnsi="Times New Roman"/>
                <w:sz w:val="18"/>
              </w:rPr>
            </w:r>
            <w:r>
              <w:rPr>
                <w:rFonts w:ascii="Times New Roman" w:hAnsi="Times New Roman"/>
                <w:b w:val="0"/>
                <w:sz w:val="18"/>
              </w:rPr>
              <w:t>[notebook sonucu]</w:t>
            </w:r>
          </w:p>
        </w:tc>
      </w:tr>
    </w:tbl>
    <w:p>
      <w:pPr>
        <w:spacing w:line="360" w:lineRule="auto" w:after="120"/>
        <w:jc w:val="both"/>
      </w:pPr>
    </w:p>
    <w:p>
      <w:pPr>
        <w:spacing w:line="360" w:lineRule="auto" w:after="120"/>
        <w:ind w:firstLine="720"/>
        <w:jc w:val="both"/>
      </w:pPr>
      <w:r>
        <w:rPr>
          <w:rFonts w:ascii="Times New Roman" w:hAnsi="Times New Roman"/>
          <w:sz w:val="24"/>
        </w:rPr>
        <w:t>RoBERTa S&amp;P 500 dış testinde de ilk sırayı korumuş ve FinBERT'e göre 0,0553 makro F1 artışı sağlamıştır. Bununla birlikte BERT ve DistilBERT'in iç testte FinBERT'i geniş farkla geçmesine rağmen S&amp;P 500 testinde FinBERT'in gerisinde kalması, iç test sıralamasının tüm modellere genellenmediğini göstermektedir.</w:t>
      </w:r>
    </w:p>
    <w:p>
      <w:pPr>
        <w:pStyle w:val="Heading2"/>
        <w:spacing w:before="240" w:after="120"/>
      </w:pPr>
      <w:r>
        <w:rPr>
          <w:rFonts w:ascii="Times New Roman" w:hAnsi="Times New Roman"/>
        </w:rPr>
        <w:t>4.4. Sentetik Veri Sonuçları</w:t>
      </w:r>
    </w:p>
    <w:tbl>
      <w:tblPr>
        <w:tblStyle w:val="TableGrid"/>
        <w:tblW w:type="auto" w:w="0"/>
        <w:jc w:val="center"/>
        <w:tblLook w:firstColumn="1" w:firstRow="1" w:lastColumn="0" w:lastRow="0" w:noHBand="0" w:noVBand="1" w:val="04A0"/>
      </w:tblPr>
      <w:tblGrid>
        <w:gridCol w:w="2210"/>
        <w:gridCol w:w="2210"/>
        <w:gridCol w:w="2210"/>
        <w:gridCol w:w="2210"/>
      </w:tblGrid>
      <w:tr>
        <w:trPr>
          <w:tblHeader w:val="true"/>
        </w:trPr>
        <w:tc>
          <w:tcPr>
            <w:tcW w:type="dxa" w:w="3402"/>
            <w:vAlign w:val="center"/>
            <w:shd w:fill="D9EAF7"/>
          </w:tcPr>
          <w:p>
            <w:pPr>
              <w:jc w:val="center"/>
            </w:pPr>
            <w:r>
              <w:rPr>
                <w:rFonts w:ascii="Times New Roman" w:hAnsi="Times New Roman"/>
                <w:b/>
                <w:sz w:val="18"/>
              </w:rPr>
            </w:r>
            <w:r>
              <w:rPr>
                <w:rFonts w:ascii="Times New Roman" w:hAnsi="Times New Roman"/>
                <w:b/>
                <w:sz w:val="18"/>
              </w:rPr>
              <w:t>Model</w:t>
            </w:r>
          </w:p>
        </w:tc>
        <w:tc>
          <w:tcPr>
            <w:tcW w:type="dxa" w:w="1701"/>
            <w:vAlign w:val="center"/>
            <w:shd w:fill="D9EAF7"/>
          </w:tcPr>
          <w:p>
            <w:pPr>
              <w:jc w:val="center"/>
            </w:pPr>
            <w:r>
              <w:rPr>
                <w:rFonts w:ascii="Times New Roman" w:hAnsi="Times New Roman"/>
                <w:b/>
                <w:sz w:val="18"/>
              </w:rPr>
            </w:r>
            <w:r>
              <w:rPr>
                <w:rFonts w:ascii="Times New Roman" w:hAnsi="Times New Roman"/>
                <w:b/>
                <w:sz w:val="18"/>
              </w:rPr>
              <w:t>Doğruluk</w:t>
            </w:r>
          </w:p>
        </w:tc>
        <w:tc>
          <w:tcPr>
            <w:tcW w:type="dxa" w:w="1701"/>
            <w:vAlign w:val="center"/>
            <w:shd w:fill="D9EAF7"/>
          </w:tcPr>
          <w:p>
            <w:pPr>
              <w:jc w:val="center"/>
            </w:pPr>
            <w:r>
              <w:rPr>
                <w:rFonts w:ascii="Times New Roman" w:hAnsi="Times New Roman"/>
                <w:b/>
                <w:sz w:val="18"/>
              </w:rPr>
            </w:r>
            <w:r>
              <w:rPr>
                <w:rFonts w:ascii="Times New Roman" w:hAnsi="Times New Roman"/>
                <w:b/>
                <w:sz w:val="18"/>
              </w:rPr>
              <w:t>Macro-F1</w:t>
            </w:r>
          </w:p>
        </w:tc>
        <w:tc>
          <w:tcPr>
            <w:tcW w:type="dxa" w:w="1701"/>
            <w:vAlign w:val="center"/>
            <w:shd w:fill="D9EAF7"/>
          </w:tcPr>
          <w:p>
            <w:pPr>
              <w:jc w:val="center"/>
            </w:pPr>
            <w:r>
              <w:rPr>
                <w:rFonts w:ascii="Times New Roman" w:hAnsi="Times New Roman"/>
                <w:b/>
                <w:sz w:val="18"/>
              </w:rPr>
            </w:r>
            <w:r>
              <w:rPr>
                <w:rFonts w:ascii="Times New Roman" w:hAnsi="Times New Roman"/>
                <w:b/>
                <w:sz w:val="18"/>
              </w:rPr>
              <w:t>Weighted-F1</w:t>
            </w:r>
          </w:p>
        </w:tc>
      </w:tr>
      <w:tr>
        <w:tc>
          <w:tcPr>
            <w:tcW w:type="dxa" w:w="3402"/>
            <w:vAlign w:val="center"/>
          </w:tcPr>
          <w:p>
            <w:pPr>
              <w:jc w:val="left"/>
            </w:pPr>
            <w:r>
              <w:rPr>
                <w:rFonts w:ascii="Times New Roman" w:hAnsi="Times New Roman"/>
                <w:sz w:val="18"/>
              </w:rPr>
            </w:r>
            <w:r>
              <w:rPr>
                <w:rFonts w:ascii="Times New Roman" w:hAnsi="Times New Roman"/>
                <w:b w:val="0"/>
                <w:sz w:val="18"/>
              </w:rPr>
              <w:t>RoBERTa-base</w:t>
            </w:r>
          </w:p>
        </w:tc>
        <w:tc>
          <w:tcPr>
            <w:tcW w:type="dxa" w:w="1701"/>
            <w:vAlign w:val="center"/>
          </w:tcPr>
          <w:p>
            <w:pPr>
              <w:jc w:val="left"/>
            </w:pPr>
            <w:r>
              <w:rPr>
                <w:rFonts w:ascii="Times New Roman" w:hAnsi="Times New Roman"/>
                <w:sz w:val="18"/>
              </w:rPr>
            </w:r>
            <w:r>
              <w:rPr>
                <w:rFonts w:ascii="Times New Roman" w:hAnsi="Times New Roman"/>
                <w:b w:val="0"/>
                <w:sz w:val="18"/>
              </w:rPr>
              <w:t>0,9957</w:t>
            </w:r>
          </w:p>
        </w:tc>
        <w:tc>
          <w:tcPr>
            <w:tcW w:type="dxa" w:w="1701"/>
            <w:vAlign w:val="center"/>
          </w:tcPr>
          <w:p>
            <w:pPr>
              <w:jc w:val="left"/>
            </w:pPr>
            <w:r>
              <w:rPr>
                <w:rFonts w:ascii="Times New Roman" w:hAnsi="Times New Roman"/>
                <w:sz w:val="18"/>
              </w:rPr>
            </w:r>
            <w:r>
              <w:rPr>
                <w:rFonts w:ascii="Times New Roman" w:hAnsi="Times New Roman"/>
                <w:b w:val="0"/>
                <w:sz w:val="18"/>
              </w:rPr>
              <w:t>0,9957</w:t>
            </w:r>
          </w:p>
        </w:tc>
        <w:tc>
          <w:tcPr>
            <w:tcW w:type="dxa" w:w="1701"/>
            <w:vAlign w:val="center"/>
          </w:tcPr>
          <w:p>
            <w:pPr>
              <w:jc w:val="left"/>
            </w:pPr>
            <w:r>
              <w:rPr>
                <w:rFonts w:ascii="Times New Roman" w:hAnsi="Times New Roman"/>
                <w:sz w:val="18"/>
              </w:rPr>
            </w:r>
            <w:r>
              <w:rPr>
                <w:rFonts w:ascii="Times New Roman" w:hAnsi="Times New Roman"/>
                <w:b w:val="0"/>
                <w:sz w:val="18"/>
              </w:rPr>
              <w:t>0,9957</w:t>
            </w:r>
          </w:p>
        </w:tc>
      </w:tr>
      <w:tr>
        <w:tc>
          <w:tcPr>
            <w:tcW w:type="dxa" w:w="3402"/>
            <w:vAlign w:val="center"/>
          </w:tcPr>
          <w:p>
            <w:pPr>
              <w:jc w:val="left"/>
            </w:pPr>
            <w:r>
              <w:rPr>
                <w:rFonts w:ascii="Times New Roman" w:hAnsi="Times New Roman"/>
                <w:sz w:val="18"/>
              </w:rPr>
            </w:r>
            <w:r>
              <w:rPr>
                <w:rFonts w:ascii="Times New Roman" w:hAnsi="Times New Roman"/>
                <w:b w:val="0"/>
                <w:sz w:val="18"/>
              </w:rPr>
              <w:t>BERT-base-uncased</w:t>
            </w:r>
          </w:p>
        </w:tc>
        <w:tc>
          <w:tcPr>
            <w:tcW w:type="dxa" w:w="1701"/>
            <w:vAlign w:val="center"/>
          </w:tcPr>
          <w:p>
            <w:pPr>
              <w:jc w:val="left"/>
            </w:pPr>
            <w:r>
              <w:rPr>
                <w:rFonts w:ascii="Times New Roman" w:hAnsi="Times New Roman"/>
                <w:sz w:val="18"/>
              </w:rPr>
            </w:r>
            <w:r>
              <w:rPr>
                <w:rFonts w:ascii="Times New Roman" w:hAnsi="Times New Roman"/>
                <w:b w:val="0"/>
                <w:sz w:val="18"/>
              </w:rPr>
              <w:t>0,9743</w:t>
            </w:r>
          </w:p>
        </w:tc>
        <w:tc>
          <w:tcPr>
            <w:tcW w:type="dxa" w:w="1701"/>
            <w:vAlign w:val="center"/>
          </w:tcPr>
          <w:p>
            <w:pPr>
              <w:jc w:val="left"/>
            </w:pPr>
            <w:r>
              <w:rPr>
                <w:rFonts w:ascii="Times New Roman" w:hAnsi="Times New Roman"/>
                <w:sz w:val="18"/>
              </w:rPr>
            </w:r>
            <w:r>
              <w:rPr>
                <w:rFonts w:ascii="Times New Roman" w:hAnsi="Times New Roman"/>
                <w:b w:val="0"/>
                <w:sz w:val="18"/>
              </w:rPr>
              <w:t>0,9742</w:t>
            </w:r>
          </w:p>
        </w:tc>
        <w:tc>
          <w:tcPr>
            <w:tcW w:type="dxa" w:w="1701"/>
            <w:vAlign w:val="center"/>
          </w:tcPr>
          <w:p>
            <w:pPr>
              <w:jc w:val="left"/>
            </w:pPr>
            <w:r>
              <w:rPr>
                <w:rFonts w:ascii="Times New Roman" w:hAnsi="Times New Roman"/>
                <w:sz w:val="18"/>
              </w:rPr>
            </w:r>
            <w:r>
              <w:rPr>
                <w:rFonts w:ascii="Times New Roman" w:hAnsi="Times New Roman"/>
                <w:b w:val="0"/>
                <w:sz w:val="18"/>
              </w:rPr>
              <w:t>0,9742</w:t>
            </w:r>
          </w:p>
        </w:tc>
      </w:tr>
      <w:tr>
        <w:tc>
          <w:tcPr>
            <w:tcW w:type="dxa" w:w="3402"/>
            <w:vAlign w:val="center"/>
          </w:tcPr>
          <w:p>
            <w:pPr>
              <w:jc w:val="left"/>
            </w:pPr>
            <w:r>
              <w:rPr>
                <w:rFonts w:ascii="Times New Roman" w:hAnsi="Times New Roman"/>
                <w:sz w:val="18"/>
              </w:rPr>
            </w:r>
            <w:r>
              <w:rPr>
                <w:rFonts w:ascii="Times New Roman" w:hAnsi="Times New Roman"/>
                <w:b w:val="0"/>
                <w:sz w:val="18"/>
              </w:rPr>
              <w:t>DistilBERT-base-uncased</w:t>
            </w:r>
          </w:p>
        </w:tc>
        <w:tc>
          <w:tcPr>
            <w:tcW w:type="dxa" w:w="1701"/>
            <w:vAlign w:val="center"/>
          </w:tcPr>
          <w:p>
            <w:pPr>
              <w:jc w:val="left"/>
            </w:pPr>
            <w:r>
              <w:rPr>
                <w:rFonts w:ascii="Times New Roman" w:hAnsi="Times New Roman"/>
                <w:sz w:val="18"/>
              </w:rPr>
            </w:r>
            <w:r>
              <w:rPr>
                <w:rFonts w:ascii="Times New Roman" w:hAnsi="Times New Roman"/>
                <w:b w:val="0"/>
                <w:sz w:val="18"/>
              </w:rPr>
              <w:t>0,9583</w:t>
            </w:r>
          </w:p>
        </w:tc>
        <w:tc>
          <w:tcPr>
            <w:tcW w:type="dxa" w:w="1701"/>
            <w:vAlign w:val="center"/>
          </w:tcPr>
          <w:p>
            <w:pPr>
              <w:jc w:val="left"/>
            </w:pPr>
            <w:r>
              <w:rPr>
                <w:rFonts w:ascii="Times New Roman" w:hAnsi="Times New Roman"/>
                <w:sz w:val="18"/>
              </w:rPr>
            </w:r>
            <w:r>
              <w:rPr>
                <w:rFonts w:ascii="Times New Roman" w:hAnsi="Times New Roman"/>
                <w:b w:val="0"/>
                <w:sz w:val="18"/>
              </w:rPr>
              <w:t>0,9581</w:t>
            </w:r>
          </w:p>
        </w:tc>
        <w:tc>
          <w:tcPr>
            <w:tcW w:type="dxa" w:w="1701"/>
            <w:vAlign w:val="center"/>
          </w:tcPr>
          <w:p>
            <w:pPr>
              <w:jc w:val="left"/>
            </w:pPr>
            <w:r>
              <w:rPr>
                <w:rFonts w:ascii="Times New Roman" w:hAnsi="Times New Roman"/>
                <w:sz w:val="18"/>
              </w:rPr>
            </w:r>
            <w:r>
              <w:rPr>
                <w:rFonts w:ascii="Times New Roman" w:hAnsi="Times New Roman"/>
                <w:b w:val="0"/>
                <w:sz w:val="18"/>
              </w:rPr>
              <w:t>0,9581</w:t>
            </w:r>
          </w:p>
        </w:tc>
      </w:tr>
      <w:tr>
        <w:tc>
          <w:tcPr>
            <w:tcW w:type="dxa" w:w="3402"/>
            <w:vAlign w:val="center"/>
          </w:tcPr>
          <w:p>
            <w:pPr>
              <w:jc w:val="left"/>
            </w:pPr>
            <w:r>
              <w:rPr>
                <w:rFonts w:ascii="Times New Roman" w:hAnsi="Times New Roman"/>
                <w:sz w:val="18"/>
              </w:rPr>
            </w:r>
            <w:r>
              <w:rPr>
                <w:rFonts w:ascii="Times New Roman" w:hAnsi="Times New Roman"/>
                <w:b w:val="0"/>
                <w:sz w:val="18"/>
              </w:rPr>
              <w:t>Original FinBERT</w:t>
            </w:r>
          </w:p>
        </w:tc>
        <w:tc>
          <w:tcPr>
            <w:tcW w:type="dxa" w:w="1701"/>
            <w:vAlign w:val="center"/>
          </w:tcPr>
          <w:p>
            <w:pPr>
              <w:jc w:val="left"/>
            </w:pPr>
            <w:r>
              <w:rPr>
                <w:rFonts w:ascii="Times New Roman" w:hAnsi="Times New Roman"/>
                <w:sz w:val="18"/>
              </w:rPr>
            </w:r>
            <w:r>
              <w:rPr>
                <w:rFonts w:ascii="Times New Roman" w:hAnsi="Times New Roman"/>
                <w:b w:val="0"/>
                <w:sz w:val="18"/>
              </w:rPr>
              <w:t>0,9550</w:t>
            </w:r>
          </w:p>
        </w:tc>
        <w:tc>
          <w:tcPr>
            <w:tcW w:type="dxa" w:w="1701"/>
            <w:vAlign w:val="center"/>
          </w:tcPr>
          <w:p>
            <w:pPr>
              <w:jc w:val="left"/>
            </w:pPr>
            <w:r>
              <w:rPr>
                <w:rFonts w:ascii="Times New Roman" w:hAnsi="Times New Roman"/>
                <w:sz w:val="18"/>
              </w:rPr>
            </w:r>
            <w:r>
              <w:rPr>
                <w:rFonts w:ascii="Times New Roman" w:hAnsi="Times New Roman"/>
                <w:b w:val="0"/>
                <w:sz w:val="18"/>
              </w:rPr>
              <w:t>0,9551</w:t>
            </w:r>
          </w:p>
        </w:tc>
        <w:tc>
          <w:tcPr>
            <w:tcW w:type="dxa" w:w="1701"/>
            <w:vAlign w:val="center"/>
          </w:tcPr>
          <w:p>
            <w:pPr>
              <w:jc w:val="left"/>
            </w:pPr>
            <w:r>
              <w:rPr>
                <w:rFonts w:ascii="Times New Roman" w:hAnsi="Times New Roman"/>
                <w:sz w:val="18"/>
              </w:rPr>
            </w:r>
            <w:r>
              <w:rPr>
                <w:rFonts w:ascii="Times New Roman" w:hAnsi="Times New Roman"/>
                <w:b w:val="0"/>
                <w:sz w:val="18"/>
              </w:rPr>
              <w:t>0,9551</w:t>
            </w:r>
          </w:p>
        </w:tc>
      </w:tr>
    </w:tbl>
    <w:p>
      <w:pPr>
        <w:spacing w:line="360" w:lineRule="auto" w:after="120"/>
        <w:jc w:val="both"/>
      </w:pPr>
    </w:p>
    <w:p>
      <w:pPr>
        <w:spacing w:line="360" w:lineRule="auto" w:after="120"/>
        <w:ind w:firstLine="720"/>
        <w:jc w:val="both"/>
      </w:pPr>
      <w:r>
        <w:rPr>
          <w:rFonts w:ascii="Times New Roman" w:hAnsi="Times New Roman"/>
          <w:sz w:val="24"/>
        </w:rPr>
        <w:t>Bütün modeller sentetik veri üzerinde çok yüksek başarı göstermiştir. RoBERTa'nın yaklaşık 0,996 makro F1 elde etmesi, sentetik örneklerde sınıf ipuçlarının açık olduğunu düşündürmektedir. Ancak Reuters ve S&amp;P 500 sonuçlarıyla karşılaştırıldığında, sentetik performansın gerçek dünya genellemesini fazla iyimser tahmin ettiği anlaşılmaktadır.</w:t>
      </w:r>
    </w:p>
    <w:p>
      <w:pPr>
        <w:pStyle w:val="Heading2"/>
        <w:spacing w:before="240" w:after="120"/>
      </w:pPr>
      <w:r>
        <w:rPr>
          <w:rFonts w:ascii="Times New Roman" w:hAnsi="Times New Roman"/>
        </w:rPr>
        <w:t>4.5. Reuters Dış Test Sonuçları</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rPr>
          <w:tblHeader w:val="true"/>
        </w:trPr>
        <w:tc>
          <w:tcPr>
            <w:tcW w:type="dxa" w:w="2551"/>
            <w:vAlign w:val="center"/>
            <w:shd w:fill="D9EAF7"/>
          </w:tcPr>
          <w:p>
            <w:pPr>
              <w:jc w:val="center"/>
            </w:pPr>
            <w:r>
              <w:rPr>
                <w:rFonts w:ascii="Times New Roman" w:hAnsi="Times New Roman"/>
                <w:b/>
                <w:sz w:val="18"/>
              </w:rPr>
            </w:r>
            <w:r>
              <w:rPr>
                <w:rFonts w:ascii="Times New Roman" w:hAnsi="Times New Roman"/>
                <w:b/>
                <w:sz w:val="18"/>
              </w:rPr>
              <w:t>Model</w:t>
            </w:r>
          </w:p>
        </w:tc>
        <w:tc>
          <w:tcPr>
            <w:tcW w:type="dxa" w:w="1417"/>
            <w:vAlign w:val="center"/>
            <w:shd w:fill="D9EAF7"/>
          </w:tcPr>
          <w:p>
            <w:pPr>
              <w:jc w:val="center"/>
            </w:pPr>
            <w:r>
              <w:rPr>
                <w:rFonts w:ascii="Times New Roman" w:hAnsi="Times New Roman"/>
                <w:b/>
                <w:sz w:val="18"/>
              </w:rPr>
            </w:r>
            <w:r>
              <w:rPr>
                <w:rFonts w:ascii="Times New Roman" w:hAnsi="Times New Roman"/>
                <w:b/>
                <w:sz w:val="18"/>
              </w:rPr>
              <w:t>Doğruluk</w:t>
            </w:r>
          </w:p>
        </w:tc>
        <w:tc>
          <w:tcPr>
            <w:tcW w:type="dxa" w:w="1587"/>
            <w:vAlign w:val="center"/>
            <w:shd w:fill="D9EAF7"/>
          </w:tcPr>
          <w:p>
            <w:pPr>
              <w:jc w:val="center"/>
            </w:pPr>
            <w:r>
              <w:rPr>
                <w:rFonts w:ascii="Times New Roman" w:hAnsi="Times New Roman"/>
                <w:b/>
                <w:sz w:val="18"/>
              </w:rPr>
            </w:r>
            <w:r>
              <w:rPr>
                <w:rFonts w:ascii="Times New Roman" w:hAnsi="Times New Roman"/>
                <w:b/>
                <w:sz w:val="18"/>
              </w:rPr>
              <w:t>Macro Precision</w:t>
            </w:r>
          </w:p>
        </w:tc>
        <w:tc>
          <w:tcPr>
            <w:tcW w:type="dxa" w:w="1587"/>
            <w:vAlign w:val="center"/>
            <w:shd w:fill="D9EAF7"/>
          </w:tcPr>
          <w:p>
            <w:pPr>
              <w:jc w:val="center"/>
            </w:pPr>
            <w:r>
              <w:rPr>
                <w:rFonts w:ascii="Times New Roman" w:hAnsi="Times New Roman"/>
                <w:b/>
                <w:sz w:val="18"/>
              </w:rPr>
            </w:r>
            <w:r>
              <w:rPr>
                <w:rFonts w:ascii="Times New Roman" w:hAnsi="Times New Roman"/>
                <w:b/>
                <w:sz w:val="18"/>
              </w:rPr>
              <w:t>Macro Recall</w:t>
            </w:r>
          </w:p>
        </w:tc>
        <w:tc>
          <w:tcPr>
            <w:tcW w:type="dxa" w:w="1417"/>
            <w:vAlign w:val="center"/>
            <w:shd w:fill="D9EAF7"/>
          </w:tcPr>
          <w:p>
            <w:pPr>
              <w:jc w:val="center"/>
            </w:pPr>
            <w:r>
              <w:rPr>
                <w:rFonts w:ascii="Times New Roman" w:hAnsi="Times New Roman"/>
                <w:b/>
                <w:sz w:val="18"/>
              </w:rPr>
            </w:r>
            <w:r>
              <w:rPr>
                <w:rFonts w:ascii="Times New Roman" w:hAnsi="Times New Roman"/>
                <w:b/>
                <w:sz w:val="18"/>
              </w:rPr>
              <w:t>Macro-F1</w:t>
            </w:r>
          </w:p>
        </w:tc>
        <w:tc>
          <w:tcPr>
            <w:tcW w:type="dxa" w:w="1587"/>
            <w:vAlign w:val="center"/>
            <w:shd w:fill="D9EAF7"/>
          </w:tcPr>
          <w:p>
            <w:pPr>
              <w:jc w:val="center"/>
            </w:pPr>
            <w:r>
              <w:rPr>
                <w:rFonts w:ascii="Times New Roman" w:hAnsi="Times New Roman"/>
                <w:b/>
                <w:sz w:val="18"/>
              </w:rPr>
            </w:r>
            <w:r>
              <w:rPr>
                <w:rFonts w:ascii="Times New Roman" w:hAnsi="Times New Roman"/>
                <w:b/>
                <w:sz w:val="18"/>
              </w:rPr>
              <w:t>Weighted-F1</w:t>
            </w:r>
          </w:p>
        </w:tc>
      </w:tr>
      <w:tr>
        <w:tc>
          <w:tcPr>
            <w:tcW w:type="dxa" w:w="2551"/>
            <w:vAlign w:val="center"/>
          </w:tcPr>
          <w:p>
            <w:pPr>
              <w:jc w:val="left"/>
            </w:pPr>
            <w:r>
              <w:rPr>
                <w:rFonts w:ascii="Times New Roman" w:hAnsi="Times New Roman"/>
                <w:sz w:val="18"/>
              </w:rPr>
            </w:r>
            <w:r>
              <w:rPr>
                <w:rFonts w:ascii="Times New Roman" w:hAnsi="Times New Roman"/>
                <w:b w:val="0"/>
                <w:sz w:val="18"/>
              </w:rPr>
              <w:t>Original FinBERT</w:t>
            </w:r>
          </w:p>
        </w:tc>
        <w:tc>
          <w:tcPr>
            <w:tcW w:type="dxa" w:w="1417"/>
            <w:vAlign w:val="center"/>
          </w:tcPr>
          <w:p>
            <w:pPr>
              <w:jc w:val="left"/>
            </w:pPr>
            <w:r>
              <w:rPr>
                <w:rFonts w:ascii="Times New Roman" w:hAnsi="Times New Roman"/>
                <w:sz w:val="18"/>
              </w:rPr>
            </w:r>
            <w:r>
              <w:rPr>
                <w:rFonts w:ascii="Times New Roman" w:hAnsi="Times New Roman"/>
                <w:b w:val="0"/>
                <w:sz w:val="18"/>
              </w:rPr>
              <w:t>0,6966</w:t>
            </w:r>
          </w:p>
        </w:tc>
        <w:tc>
          <w:tcPr>
            <w:tcW w:type="dxa" w:w="1587"/>
            <w:vAlign w:val="center"/>
          </w:tcPr>
          <w:p>
            <w:pPr>
              <w:jc w:val="left"/>
            </w:pPr>
            <w:r>
              <w:rPr>
                <w:rFonts w:ascii="Times New Roman" w:hAnsi="Times New Roman"/>
                <w:sz w:val="18"/>
              </w:rPr>
            </w:r>
            <w:r>
              <w:rPr>
                <w:rFonts w:ascii="Times New Roman" w:hAnsi="Times New Roman"/>
                <w:b w:val="0"/>
                <w:sz w:val="18"/>
              </w:rPr>
              <w:t>0,6882</w:t>
            </w:r>
          </w:p>
        </w:tc>
        <w:tc>
          <w:tcPr>
            <w:tcW w:type="dxa" w:w="1587"/>
            <w:vAlign w:val="center"/>
          </w:tcPr>
          <w:p>
            <w:pPr>
              <w:jc w:val="left"/>
            </w:pPr>
            <w:r>
              <w:rPr>
                <w:rFonts w:ascii="Times New Roman" w:hAnsi="Times New Roman"/>
                <w:sz w:val="18"/>
              </w:rPr>
            </w:r>
            <w:r>
              <w:rPr>
                <w:rFonts w:ascii="Times New Roman" w:hAnsi="Times New Roman"/>
                <w:b w:val="0"/>
                <w:sz w:val="18"/>
              </w:rPr>
              <w:t>0,7021</w:t>
            </w:r>
          </w:p>
        </w:tc>
        <w:tc>
          <w:tcPr>
            <w:tcW w:type="dxa" w:w="1417"/>
            <w:vAlign w:val="center"/>
          </w:tcPr>
          <w:p>
            <w:pPr>
              <w:jc w:val="left"/>
            </w:pPr>
            <w:r>
              <w:rPr>
                <w:rFonts w:ascii="Times New Roman" w:hAnsi="Times New Roman"/>
                <w:sz w:val="18"/>
              </w:rPr>
            </w:r>
            <w:r>
              <w:rPr>
                <w:rFonts w:ascii="Times New Roman" w:hAnsi="Times New Roman"/>
                <w:b w:val="0"/>
                <w:sz w:val="18"/>
              </w:rPr>
              <w:t>0,6866</w:t>
            </w:r>
          </w:p>
        </w:tc>
        <w:tc>
          <w:tcPr>
            <w:tcW w:type="dxa" w:w="1587"/>
            <w:vAlign w:val="center"/>
          </w:tcPr>
          <w:p>
            <w:pPr>
              <w:jc w:val="left"/>
            </w:pPr>
            <w:r>
              <w:rPr>
                <w:rFonts w:ascii="Times New Roman" w:hAnsi="Times New Roman"/>
                <w:sz w:val="18"/>
              </w:rPr>
            </w:r>
            <w:r>
              <w:rPr>
                <w:rFonts w:ascii="Times New Roman" w:hAnsi="Times New Roman"/>
                <w:b w:val="0"/>
                <w:sz w:val="18"/>
              </w:rPr>
              <w:t>0,7016</w:t>
            </w:r>
          </w:p>
        </w:tc>
      </w:tr>
      <w:tr>
        <w:tc>
          <w:tcPr>
            <w:tcW w:type="dxa" w:w="2551"/>
            <w:vAlign w:val="center"/>
          </w:tcPr>
          <w:p>
            <w:pPr>
              <w:jc w:val="left"/>
            </w:pPr>
            <w:r>
              <w:rPr>
                <w:rFonts w:ascii="Times New Roman" w:hAnsi="Times New Roman"/>
                <w:sz w:val="18"/>
              </w:rPr>
            </w:r>
            <w:r>
              <w:rPr>
                <w:rFonts w:ascii="Times New Roman" w:hAnsi="Times New Roman"/>
                <w:b w:val="0"/>
                <w:sz w:val="18"/>
              </w:rPr>
              <w:t>RoBERTa-base</w:t>
            </w:r>
          </w:p>
        </w:tc>
        <w:tc>
          <w:tcPr>
            <w:tcW w:type="dxa" w:w="1417"/>
            <w:vAlign w:val="center"/>
          </w:tcPr>
          <w:p>
            <w:pPr>
              <w:jc w:val="left"/>
            </w:pPr>
            <w:r>
              <w:rPr>
                <w:rFonts w:ascii="Times New Roman" w:hAnsi="Times New Roman"/>
                <w:sz w:val="18"/>
              </w:rPr>
            </w:r>
            <w:r>
              <w:rPr>
                <w:rFonts w:ascii="Times New Roman" w:hAnsi="Times New Roman"/>
                <w:b w:val="0"/>
                <w:sz w:val="18"/>
              </w:rPr>
              <w:t>0,6268</w:t>
            </w:r>
          </w:p>
        </w:tc>
        <w:tc>
          <w:tcPr>
            <w:tcW w:type="dxa" w:w="1587"/>
            <w:vAlign w:val="center"/>
          </w:tcPr>
          <w:p>
            <w:pPr>
              <w:jc w:val="left"/>
            </w:pPr>
            <w:r>
              <w:rPr>
                <w:rFonts w:ascii="Times New Roman" w:hAnsi="Times New Roman"/>
                <w:sz w:val="18"/>
              </w:rPr>
            </w:r>
            <w:r>
              <w:rPr>
                <w:rFonts w:ascii="Times New Roman" w:hAnsi="Times New Roman"/>
                <w:b w:val="0"/>
                <w:sz w:val="18"/>
              </w:rPr>
              <w:t>0,7464</w:t>
            </w:r>
          </w:p>
        </w:tc>
        <w:tc>
          <w:tcPr>
            <w:tcW w:type="dxa" w:w="1587"/>
            <w:vAlign w:val="center"/>
          </w:tcPr>
          <w:p>
            <w:pPr>
              <w:jc w:val="left"/>
            </w:pPr>
            <w:r>
              <w:rPr>
                <w:rFonts w:ascii="Times New Roman" w:hAnsi="Times New Roman"/>
                <w:sz w:val="18"/>
              </w:rPr>
            </w:r>
            <w:r>
              <w:rPr>
                <w:rFonts w:ascii="Times New Roman" w:hAnsi="Times New Roman"/>
                <w:b w:val="0"/>
                <w:sz w:val="18"/>
              </w:rPr>
              <w:t>0,6723</w:t>
            </w:r>
          </w:p>
        </w:tc>
        <w:tc>
          <w:tcPr>
            <w:tcW w:type="dxa" w:w="1417"/>
            <w:vAlign w:val="center"/>
          </w:tcPr>
          <w:p>
            <w:pPr>
              <w:jc w:val="left"/>
            </w:pPr>
            <w:r>
              <w:rPr>
                <w:rFonts w:ascii="Times New Roman" w:hAnsi="Times New Roman"/>
                <w:sz w:val="18"/>
              </w:rPr>
            </w:r>
            <w:r>
              <w:rPr>
                <w:rFonts w:ascii="Times New Roman" w:hAnsi="Times New Roman"/>
                <w:b w:val="0"/>
                <w:sz w:val="18"/>
              </w:rPr>
              <w:t>0,6388</w:t>
            </w:r>
          </w:p>
        </w:tc>
        <w:tc>
          <w:tcPr>
            <w:tcW w:type="dxa" w:w="1587"/>
            <w:vAlign w:val="center"/>
          </w:tcPr>
          <w:p>
            <w:pPr>
              <w:jc w:val="left"/>
            </w:pPr>
            <w:r>
              <w:rPr>
                <w:rFonts w:ascii="Times New Roman" w:hAnsi="Times New Roman"/>
                <w:sz w:val="18"/>
              </w:rPr>
            </w:r>
            <w:r>
              <w:rPr>
                <w:rFonts w:ascii="Times New Roman" w:hAnsi="Times New Roman"/>
                <w:b w:val="0"/>
                <w:sz w:val="18"/>
              </w:rPr>
              <w:t>0,6486</w:t>
            </w:r>
          </w:p>
        </w:tc>
      </w:tr>
      <w:tr>
        <w:tc>
          <w:tcPr>
            <w:tcW w:type="dxa" w:w="2551"/>
            <w:vAlign w:val="center"/>
          </w:tcPr>
          <w:p>
            <w:pPr>
              <w:jc w:val="left"/>
            </w:pPr>
            <w:r>
              <w:rPr>
                <w:rFonts w:ascii="Times New Roman" w:hAnsi="Times New Roman"/>
                <w:sz w:val="18"/>
              </w:rPr>
            </w:r>
            <w:r>
              <w:rPr>
                <w:rFonts w:ascii="Times New Roman" w:hAnsi="Times New Roman"/>
                <w:b w:val="0"/>
                <w:sz w:val="18"/>
              </w:rPr>
              <w:t>BERT-base-uncased</w:t>
            </w:r>
          </w:p>
        </w:tc>
        <w:tc>
          <w:tcPr>
            <w:tcW w:type="dxa" w:w="1417"/>
            <w:vAlign w:val="center"/>
          </w:tcPr>
          <w:p>
            <w:pPr>
              <w:jc w:val="left"/>
            </w:pPr>
            <w:r>
              <w:rPr>
                <w:rFonts w:ascii="Times New Roman" w:hAnsi="Times New Roman"/>
                <w:sz w:val="18"/>
              </w:rPr>
            </w:r>
            <w:r>
              <w:rPr>
                <w:rFonts w:ascii="Times New Roman" w:hAnsi="Times New Roman"/>
                <w:b w:val="0"/>
                <w:sz w:val="18"/>
              </w:rPr>
              <w:t>0,6034</w:t>
            </w:r>
          </w:p>
        </w:tc>
        <w:tc>
          <w:tcPr>
            <w:tcW w:type="dxa" w:w="1587"/>
            <w:vAlign w:val="center"/>
          </w:tcPr>
          <w:p>
            <w:pPr>
              <w:jc w:val="left"/>
            </w:pPr>
            <w:r>
              <w:rPr>
                <w:rFonts w:ascii="Times New Roman" w:hAnsi="Times New Roman"/>
                <w:sz w:val="18"/>
              </w:rPr>
            </w:r>
            <w:r>
              <w:rPr>
                <w:rFonts w:ascii="Times New Roman" w:hAnsi="Times New Roman"/>
                <w:b w:val="0"/>
                <w:sz w:val="18"/>
              </w:rPr>
              <w:t>0,7165</w:t>
            </w:r>
          </w:p>
        </w:tc>
        <w:tc>
          <w:tcPr>
            <w:tcW w:type="dxa" w:w="1587"/>
            <w:vAlign w:val="center"/>
          </w:tcPr>
          <w:p>
            <w:pPr>
              <w:jc w:val="left"/>
            </w:pPr>
            <w:r>
              <w:rPr>
                <w:rFonts w:ascii="Times New Roman" w:hAnsi="Times New Roman"/>
                <w:sz w:val="18"/>
              </w:rPr>
            </w:r>
            <w:r>
              <w:rPr>
                <w:rFonts w:ascii="Times New Roman" w:hAnsi="Times New Roman"/>
                <w:b w:val="0"/>
                <w:sz w:val="18"/>
              </w:rPr>
              <w:t>0,6451</w:t>
            </w:r>
          </w:p>
        </w:tc>
        <w:tc>
          <w:tcPr>
            <w:tcW w:type="dxa" w:w="1417"/>
            <w:vAlign w:val="center"/>
          </w:tcPr>
          <w:p>
            <w:pPr>
              <w:jc w:val="left"/>
            </w:pPr>
            <w:r>
              <w:rPr>
                <w:rFonts w:ascii="Times New Roman" w:hAnsi="Times New Roman"/>
                <w:sz w:val="18"/>
              </w:rPr>
            </w:r>
            <w:r>
              <w:rPr>
                <w:rFonts w:ascii="Times New Roman" w:hAnsi="Times New Roman"/>
                <w:b w:val="0"/>
                <w:sz w:val="18"/>
              </w:rPr>
              <w:t>0,6131</w:t>
            </w:r>
          </w:p>
        </w:tc>
        <w:tc>
          <w:tcPr>
            <w:tcW w:type="dxa" w:w="1587"/>
            <w:vAlign w:val="center"/>
          </w:tcPr>
          <w:p>
            <w:pPr>
              <w:jc w:val="left"/>
            </w:pPr>
            <w:r>
              <w:rPr>
                <w:rFonts w:ascii="Times New Roman" w:hAnsi="Times New Roman"/>
                <w:sz w:val="18"/>
              </w:rPr>
            </w:r>
            <w:r>
              <w:rPr>
                <w:rFonts w:ascii="Times New Roman" w:hAnsi="Times New Roman"/>
                <w:b w:val="0"/>
                <w:sz w:val="18"/>
              </w:rPr>
              <w:t>0,6240</w:t>
            </w:r>
          </w:p>
        </w:tc>
      </w:tr>
      <w:tr>
        <w:tc>
          <w:tcPr>
            <w:tcW w:type="dxa" w:w="2551"/>
            <w:vAlign w:val="center"/>
          </w:tcPr>
          <w:p>
            <w:pPr>
              <w:jc w:val="left"/>
            </w:pPr>
            <w:r>
              <w:rPr>
                <w:rFonts w:ascii="Times New Roman" w:hAnsi="Times New Roman"/>
                <w:sz w:val="18"/>
              </w:rPr>
            </w:r>
            <w:r>
              <w:rPr>
                <w:rFonts w:ascii="Times New Roman" w:hAnsi="Times New Roman"/>
                <w:b w:val="0"/>
                <w:sz w:val="18"/>
              </w:rPr>
              <w:t>DistilBERT-base-uncased</w:t>
            </w:r>
          </w:p>
        </w:tc>
        <w:tc>
          <w:tcPr>
            <w:tcW w:type="dxa" w:w="1417"/>
            <w:vAlign w:val="center"/>
          </w:tcPr>
          <w:p>
            <w:pPr>
              <w:jc w:val="left"/>
            </w:pPr>
            <w:r>
              <w:rPr>
                <w:rFonts w:ascii="Times New Roman" w:hAnsi="Times New Roman"/>
                <w:sz w:val="18"/>
              </w:rPr>
            </w:r>
            <w:r>
              <w:rPr>
                <w:rFonts w:ascii="Times New Roman" w:hAnsi="Times New Roman"/>
                <w:b w:val="0"/>
                <w:sz w:val="18"/>
              </w:rPr>
              <w:t>0,5766</w:t>
            </w:r>
          </w:p>
        </w:tc>
        <w:tc>
          <w:tcPr>
            <w:tcW w:type="dxa" w:w="1587"/>
            <w:vAlign w:val="center"/>
          </w:tcPr>
          <w:p>
            <w:pPr>
              <w:jc w:val="left"/>
            </w:pPr>
            <w:r>
              <w:rPr>
                <w:rFonts w:ascii="Times New Roman" w:hAnsi="Times New Roman"/>
                <w:sz w:val="18"/>
              </w:rPr>
            </w:r>
            <w:r>
              <w:rPr>
                <w:rFonts w:ascii="Times New Roman" w:hAnsi="Times New Roman"/>
                <w:b w:val="0"/>
                <w:sz w:val="18"/>
              </w:rPr>
              <w:t>0,6883</w:t>
            </w:r>
          </w:p>
        </w:tc>
        <w:tc>
          <w:tcPr>
            <w:tcW w:type="dxa" w:w="1587"/>
            <w:vAlign w:val="center"/>
          </w:tcPr>
          <w:p>
            <w:pPr>
              <w:jc w:val="left"/>
            </w:pPr>
            <w:r>
              <w:rPr>
                <w:rFonts w:ascii="Times New Roman" w:hAnsi="Times New Roman"/>
                <w:sz w:val="18"/>
              </w:rPr>
            </w:r>
            <w:r>
              <w:rPr>
                <w:rFonts w:ascii="Times New Roman" w:hAnsi="Times New Roman"/>
                <w:b w:val="0"/>
                <w:sz w:val="18"/>
              </w:rPr>
              <w:t>0,6201</w:t>
            </w:r>
          </w:p>
        </w:tc>
        <w:tc>
          <w:tcPr>
            <w:tcW w:type="dxa" w:w="1417"/>
            <w:vAlign w:val="center"/>
          </w:tcPr>
          <w:p>
            <w:pPr>
              <w:jc w:val="left"/>
            </w:pPr>
            <w:r>
              <w:rPr>
                <w:rFonts w:ascii="Times New Roman" w:hAnsi="Times New Roman"/>
                <w:sz w:val="18"/>
              </w:rPr>
            </w:r>
            <w:r>
              <w:rPr>
                <w:rFonts w:ascii="Times New Roman" w:hAnsi="Times New Roman"/>
                <w:b w:val="0"/>
                <w:sz w:val="18"/>
              </w:rPr>
              <w:t>0,5869</w:t>
            </w:r>
          </w:p>
        </w:tc>
        <w:tc>
          <w:tcPr>
            <w:tcW w:type="dxa" w:w="1587"/>
            <w:vAlign w:val="center"/>
          </w:tcPr>
          <w:p>
            <w:pPr>
              <w:jc w:val="left"/>
            </w:pPr>
            <w:r>
              <w:rPr>
                <w:rFonts w:ascii="Times New Roman" w:hAnsi="Times New Roman"/>
                <w:sz w:val="18"/>
              </w:rPr>
            </w:r>
            <w:r>
              <w:rPr>
                <w:rFonts w:ascii="Times New Roman" w:hAnsi="Times New Roman"/>
                <w:b w:val="0"/>
                <w:sz w:val="18"/>
              </w:rPr>
              <w:t>0,5953</w:t>
            </w:r>
          </w:p>
        </w:tc>
      </w:tr>
    </w:tbl>
    <w:p>
      <w:pPr>
        <w:spacing w:line="360" w:lineRule="auto" w:after="120"/>
        <w:jc w:val="both"/>
      </w:pPr>
    </w:p>
    <w:p>
      <w:pPr>
        <w:spacing w:line="360" w:lineRule="auto" w:after="120"/>
        <w:ind w:firstLine="720"/>
        <w:jc w:val="both"/>
      </w:pPr>
      <w:r>
        <w:rPr>
          <w:rFonts w:ascii="Times New Roman" w:hAnsi="Times New Roman"/>
          <w:sz w:val="24"/>
        </w:rPr>
        <w:t>Reuters testinde model sıralaması değişmiştir. Hazır FinBERT, 0,6866 makro F1 ile en başarılı model olmuş; RoBERTa 0,6388 değerinde kalmıştır. RoBERTa'nın makro kesinliği yüksek olmasına rağmen daha düşük doğruluk ve F1 elde etmesi, bazı sınıflarda seçici fakat düşük kapsamalı tahmin ürettiğini düşündürmektedir. Bu bulgu, alan odaklı ön eğitimin profesyonel finans haberlerinde yeniden avantaj sağladığını göstermektedir.</w:t>
      </w:r>
    </w:p>
    <w:p>
      <w:pPr>
        <w:pStyle w:val="Heading2"/>
        <w:spacing w:before="240" w:after="120"/>
      </w:pPr>
      <w:r>
        <w:rPr>
          <w:rFonts w:ascii="Times New Roman" w:hAnsi="Times New Roman"/>
        </w:rPr>
        <w:t>4.6. Test Alanları Arası Karşılaştırma</w:t>
      </w:r>
    </w:p>
    <w:p>
      <w:pPr>
        <w:spacing w:line="360" w:lineRule="auto" w:after="120"/>
        <w:jc w:val="both"/>
      </w:pPr>
      <w:r>
        <w:rPr>
          <w:rFonts w:ascii="Times New Roman" w:hAnsi="Times New Roman"/>
          <w:sz w:val="24"/>
        </w:rPr>
        <w:drawing>
          <ns2:inline>
            <ns2:extent cx="5943600" cy="3302000"/>
            <ns2:docPr id="2" name="Picture 2"/>
            <ns2:cNvGraphicFramePr>
              <ns3:graphicFrameLocks noChangeAspect="1"/>
            </ns2:cNvGraphicFramePr>
            <ns3:graphic>
              <ns3:graphicData uri="http://schemas.openxmlformats.org/drawingml/2006/picture">
                <ns4:pic>
                  <ns4:nvPicPr>
                    <ns4:cNvPr id="0" name="macro_f1_comparison.png"/>
                    <ns4:cNvPicPr/>
                  </ns4:nvPicPr>
                  <ns4:blipFill>
                    <ns3:blip ns5:embed="rId10"/>
                    <ns3:stretch>
                      <ns3:fillRect/>
                    </ns3:stretch>
                  </ns4:blipFill>
                  <ns4:spPr>
                    <ns3:xfrm>
                      <ns3:off x="0" y="0"/>
                      <ns3:ext cx="5943600" cy="3302000"/>
                    </ns3:xfrm>
                    <ns3:prstGeom prst="rect"/>
                  </ns4:spPr>
                </ns4:pic>
              </ns3:graphicData>
            </ns3:graphic>
          </ns2:inline>
        </w:drawing>
      </w:r>
    </w:p>
    <w:p>
      <w:pPr>
        <w:spacing w:line="360" w:lineRule="auto" w:after="120"/>
        <w:jc w:val="both"/>
      </w:pPr>
      <w:r>
        <w:rPr>
          <w:rFonts w:ascii="Times New Roman" w:hAnsi="Times New Roman"/>
          <w:b/>
          <w:sz w:val="20"/>
        </w:rPr>
        <w:t>Şekil 2. Modellerin test alanlarına göre Macro-F1 karşılaştırması</w:t>
      </w:r>
    </w:p>
    <w:tbl>
      <w:tblPr>
        <w:tblStyle w:val="TableGrid"/>
        <w:tblW w:type="auto" w:w="0"/>
        <w:jc w:val="center"/>
        <w:tblLook w:firstColumn="1" w:firstRow="1" w:lastColumn="0" w:lastRow="0" w:noHBand="0" w:noVBand="1" w:val="04A0"/>
      </w:tblPr>
      <w:tblGrid>
        <w:gridCol w:w="1768"/>
        <w:gridCol w:w="1768"/>
        <w:gridCol w:w="1768"/>
        <w:gridCol w:w="1768"/>
        <w:gridCol w:w="1768"/>
      </w:tblGrid>
      <w:tr>
        <w:trPr>
          <w:tblHeader w:val="true"/>
        </w:trPr>
        <w:tc>
          <w:tcPr>
            <w:tcW w:type="dxa" w:w="2835"/>
            <w:vAlign w:val="center"/>
            <w:shd w:fill="D9EAF7"/>
          </w:tcPr>
          <w:p>
            <w:pPr>
              <w:jc w:val="center"/>
            </w:pPr>
            <w:r>
              <w:rPr>
                <w:rFonts w:ascii="Times New Roman" w:hAnsi="Times New Roman"/>
                <w:b/>
                <w:sz w:val="18"/>
              </w:rPr>
            </w:r>
            <w:r>
              <w:rPr>
                <w:rFonts w:ascii="Times New Roman" w:hAnsi="Times New Roman"/>
                <w:b/>
                <w:sz w:val="18"/>
              </w:rPr>
              <w:t>Model</w:t>
            </w:r>
          </w:p>
        </w:tc>
        <w:tc>
          <w:tcPr>
            <w:tcW w:type="dxa" w:w="1474"/>
            <w:vAlign w:val="center"/>
            <w:shd w:fill="D9EAF7"/>
          </w:tcPr>
          <w:p>
            <w:pPr>
              <w:jc w:val="center"/>
            </w:pPr>
            <w:r>
              <w:rPr>
                <w:rFonts w:ascii="Times New Roman" w:hAnsi="Times New Roman"/>
                <w:b/>
                <w:sz w:val="18"/>
              </w:rPr>
            </w:r>
            <w:r>
              <w:rPr>
                <w:rFonts w:ascii="Times New Roman" w:hAnsi="Times New Roman"/>
                <w:b/>
                <w:sz w:val="18"/>
              </w:rPr>
              <w:t>İç test</w:t>
            </w:r>
          </w:p>
        </w:tc>
        <w:tc>
          <w:tcPr>
            <w:tcW w:type="dxa" w:w="1474"/>
            <w:vAlign w:val="center"/>
            <w:shd w:fill="D9EAF7"/>
          </w:tcPr>
          <w:p>
            <w:pPr>
              <w:jc w:val="center"/>
            </w:pPr>
            <w:r>
              <w:rPr>
                <w:rFonts w:ascii="Times New Roman" w:hAnsi="Times New Roman"/>
                <w:b/>
                <w:sz w:val="18"/>
              </w:rPr>
            </w:r>
            <w:r>
              <w:rPr>
                <w:rFonts w:ascii="Times New Roman" w:hAnsi="Times New Roman"/>
                <w:b/>
                <w:sz w:val="18"/>
              </w:rPr>
              <w:t>S&amp;P 500</w:t>
            </w:r>
          </w:p>
        </w:tc>
        <w:tc>
          <w:tcPr>
            <w:tcW w:type="dxa" w:w="1474"/>
            <w:vAlign w:val="center"/>
            <w:shd w:fill="D9EAF7"/>
          </w:tcPr>
          <w:p>
            <w:pPr>
              <w:jc w:val="center"/>
            </w:pPr>
            <w:r>
              <w:rPr>
                <w:rFonts w:ascii="Times New Roman" w:hAnsi="Times New Roman"/>
                <w:b/>
                <w:sz w:val="18"/>
              </w:rPr>
            </w:r>
            <w:r>
              <w:rPr>
                <w:rFonts w:ascii="Times New Roman" w:hAnsi="Times New Roman"/>
                <w:b/>
                <w:sz w:val="18"/>
              </w:rPr>
              <w:t>Sentetik</w:t>
            </w:r>
          </w:p>
        </w:tc>
        <w:tc>
          <w:tcPr>
            <w:tcW w:type="dxa" w:w="1474"/>
            <w:vAlign w:val="center"/>
            <w:shd w:fill="D9EAF7"/>
          </w:tcPr>
          <w:p>
            <w:pPr>
              <w:jc w:val="center"/>
            </w:pPr>
            <w:r>
              <w:rPr>
                <w:rFonts w:ascii="Times New Roman" w:hAnsi="Times New Roman"/>
                <w:b/>
                <w:sz w:val="18"/>
              </w:rPr>
            </w:r>
            <w:r>
              <w:rPr>
                <w:rFonts w:ascii="Times New Roman" w:hAnsi="Times New Roman"/>
                <w:b/>
                <w:sz w:val="18"/>
              </w:rPr>
              <w:t>Reuters</w:t>
            </w:r>
          </w:p>
        </w:tc>
      </w:tr>
      <w:tr>
        <w:tc>
          <w:tcPr>
            <w:tcW w:type="dxa" w:w="2835"/>
            <w:vAlign w:val="center"/>
          </w:tcPr>
          <w:p>
            <w:pPr>
              <w:jc w:val="left"/>
            </w:pPr>
            <w:r>
              <w:rPr>
                <w:rFonts w:ascii="Times New Roman" w:hAnsi="Times New Roman"/>
                <w:sz w:val="18"/>
              </w:rPr>
            </w:r>
            <w:r>
              <w:rPr>
                <w:rFonts w:ascii="Times New Roman" w:hAnsi="Times New Roman"/>
                <w:b w:val="0"/>
                <w:sz w:val="18"/>
              </w:rPr>
              <w:t>FinBERT</w:t>
            </w:r>
          </w:p>
        </w:tc>
        <w:tc>
          <w:tcPr>
            <w:tcW w:type="dxa" w:w="1474"/>
            <w:vAlign w:val="center"/>
          </w:tcPr>
          <w:p>
            <w:pPr>
              <w:jc w:val="left"/>
            </w:pPr>
            <w:r>
              <w:rPr>
                <w:rFonts w:ascii="Times New Roman" w:hAnsi="Times New Roman"/>
                <w:sz w:val="18"/>
              </w:rPr>
            </w:r>
            <w:r>
              <w:rPr>
                <w:rFonts w:ascii="Times New Roman" w:hAnsi="Times New Roman"/>
                <w:b w:val="0"/>
                <w:sz w:val="18"/>
              </w:rPr>
              <w:t>0,6794</w:t>
            </w:r>
          </w:p>
        </w:tc>
        <w:tc>
          <w:tcPr>
            <w:tcW w:type="dxa" w:w="1474"/>
            <w:vAlign w:val="center"/>
          </w:tcPr>
          <w:p>
            <w:pPr>
              <w:jc w:val="left"/>
            </w:pPr>
            <w:r>
              <w:rPr>
                <w:rFonts w:ascii="Times New Roman" w:hAnsi="Times New Roman"/>
                <w:sz w:val="18"/>
              </w:rPr>
            </w:r>
            <w:r>
              <w:rPr>
                <w:rFonts w:ascii="Times New Roman" w:hAnsi="Times New Roman"/>
                <w:b w:val="0"/>
                <w:sz w:val="18"/>
              </w:rPr>
              <w:t>0,7585</w:t>
            </w:r>
          </w:p>
        </w:tc>
        <w:tc>
          <w:tcPr>
            <w:tcW w:type="dxa" w:w="1474"/>
            <w:vAlign w:val="center"/>
          </w:tcPr>
          <w:p>
            <w:pPr>
              <w:jc w:val="left"/>
            </w:pPr>
            <w:r>
              <w:rPr>
                <w:rFonts w:ascii="Times New Roman" w:hAnsi="Times New Roman"/>
                <w:sz w:val="18"/>
              </w:rPr>
            </w:r>
            <w:r>
              <w:rPr>
                <w:rFonts w:ascii="Times New Roman" w:hAnsi="Times New Roman"/>
                <w:b w:val="0"/>
                <w:sz w:val="18"/>
              </w:rPr>
              <w:t>0,9551</w:t>
            </w:r>
          </w:p>
        </w:tc>
        <w:tc>
          <w:tcPr>
            <w:tcW w:type="dxa" w:w="1474"/>
            <w:vAlign w:val="center"/>
          </w:tcPr>
          <w:p>
            <w:pPr>
              <w:jc w:val="left"/>
            </w:pPr>
            <w:r>
              <w:rPr>
                <w:rFonts w:ascii="Times New Roman" w:hAnsi="Times New Roman"/>
                <w:sz w:val="18"/>
              </w:rPr>
            </w:r>
            <w:r>
              <w:rPr>
                <w:rFonts w:ascii="Times New Roman" w:hAnsi="Times New Roman"/>
                <w:b w:val="0"/>
                <w:sz w:val="18"/>
              </w:rPr>
              <w:t>0,6866</w:t>
            </w:r>
          </w:p>
        </w:tc>
      </w:tr>
      <w:tr>
        <w:tc>
          <w:tcPr>
            <w:tcW w:type="dxa" w:w="2835"/>
            <w:vAlign w:val="center"/>
          </w:tcPr>
          <w:p>
            <w:pPr>
              <w:jc w:val="left"/>
            </w:pPr>
            <w:r>
              <w:rPr>
                <w:rFonts w:ascii="Times New Roman" w:hAnsi="Times New Roman"/>
                <w:sz w:val="18"/>
              </w:rPr>
            </w:r>
            <w:r>
              <w:rPr>
                <w:rFonts w:ascii="Times New Roman" w:hAnsi="Times New Roman"/>
                <w:b w:val="0"/>
                <w:sz w:val="18"/>
              </w:rPr>
              <w:t>DistilBERT</w:t>
            </w:r>
          </w:p>
        </w:tc>
        <w:tc>
          <w:tcPr>
            <w:tcW w:type="dxa" w:w="1474"/>
            <w:vAlign w:val="center"/>
          </w:tcPr>
          <w:p>
            <w:pPr>
              <w:jc w:val="left"/>
            </w:pPr>
            <w:r>
              <w:rPr>
                <w:rFonts w:ascii="Times New Roman" w:hAnsi="Times New Roman"/>
                <w:sz w:val="18"/>
              </w:rPr>
            </w:r>
            <w:r>
              <w:rPr>
                <w:rFonts w:ascii="Times New Roman" w:hAnsi="Times New Roman"/>
                <w:b w:val="0"/>
                <w:sz w:val="18"/>
              </w:rPr>
              <w:t>0,8218</w:t>
            </w:r>
          </w:p>
        </w:tc>
        <w:tc>
          <w:tcPr>
            <w:tcW w:type="dxa" w:w="1474"/>
            <w:vAlign w:val="center"/>
          </w:tcPr>
          <w:p>
            <w:pPr>
              <w:jc w:val="left"/>
            </w:pPr>
            <w:r>
              <w:rPr>
                <w:rFonts w:ascii="Times New Roman" w:hAnsi="Times New Roman"/>
                <w:sz w:val="18"/>
              </w:rPr>
            </w:r>
            <w:r>
              <w:rPr>
                <w:rFonts w:ascii="Times New Roman" w:hAnsi="Times New Roman"/>
                <w:b w:val="0"/>
                <w:sz w:val="18"/>
              </w:rPr>
              <w:t>0,7523</w:t>
            </w:r>
          </w:p>
        </w:tc>
        <w:tc>
          <w:tcPr>
            <w:tcW w:type="dxa" w:w="1474"/>
            <w:vAlign w:val="center"/>
          </w:tcPr>
          <w:p>
            <w:pPr>
              <w:jc w:val="left"/>
            </w:pPr>
            <w:r>
              <w:rPr>
                <w:rFonts w:ascii="Times New Roman" w:hAnsi="Times New Roman"/>
                <w:sz w:val="18"/>
              </w:rPr>
            </w:r>
            <w:r>
              <w:rPr>
                <w:rFonts w:ascii="Times New Roman" w:hAnsi="Times New Roman"/>
                <w:b w:val="0"/>
                <w:sz w:val="18"/>
              </w:rPr>
              <w:t>0,9581</w:t>
            </w:r>
          </w:p>
        </w:tc>
        <w:tc>
          <w:tcPr>
            <w:tcW w:type="dxa" w:w="1474"/>
            <w:vAlign w:val="center"/>
          </w:tcPr>
          <w:p>
            <w:pPr>
              <w:jc w:val="left"/>
            </w:pPr>
            <w:r>
              <w:rPr>
                <w:rFonts w:ascii="Times New Roman" w:hAnsi="Times New Roman"/>
                <w:sz w:val="18"/>
              </w:rPr>
            </w:r>
            <w:r>
              <w:rPr>
                <w:rFonts w:ascii="Times New Roman" w:hAnsi="Times New Roman"/>
                <w:b w:val="0"/>
                <w:sz w:val="18"/>
              </w:rPr>
              <w:t>0,5869</w:t>
            </w:r>
          </w:p>
        </w:tc>
      </w:tr>
      <w:tr>
        <w:tc>
          <w:tcPr>
            <w:tcW w:type="dxa" w:w="2835"/>
            <w:vAlign w:val="center"/>
          </w:tcPr>
          <w:p>
            <w:pPr>
              <w:jc w:val="left"/>
            </w:pPr>
            <w:r>
              <w:rPr>
                <w:rFonts w:ascii="Times New Roman" w:hAnsi="Times New Roman"/>
                <w:sz w:val="18"/>
              </w:rPr>
            </w:r>
            <w:r>
              <w:rPr>
                <w:rFonts w:ascii="Times New Roman" w:hAnsi="Times New Roman"/>
                <w:b w:val="0"/>
                <w:sz w:val="18"/>
              </w:rPr>
              <w:t>BERT</w:t>
            </w:r>
          </w:p>
        </w:tc>
        <w:tc>
          <w:tcPr>
            <w:tcW w:type="dxa" w:w="1474"/>
            <w:vAlign w:val="center"/>
          </w:tcPr>
          <w:p>
            <w:pPr>
              <w:jc w:val="left"/>
            </w:pPr>
            <w:r>
              <w:rPr>
                <w:rFonts w:ascii="Times New Roman" w:hAnsi="Times New Roman"/>
                <w:sz w:val="18"/>
              </w:rPr>
            </w:r>
            <w:r>
              <w:rPr>
                <w:rFonts w:ascii="Times New Roman" w:hAnsi="Times New Roman"/>
                <w:b w:val="0"/>
                <w:sz w:val="18"/>
              </w:rPr>
              <w:t>0,8378</w:t>
            </w:r>
          </w:p>
        </w:tc>
        <w:tc>
          <w:tcPr>
            <w:tcW w:type="dxa" w:w="1474"/>
            <w:vAlign w:val="center"/>
          </w:tcPr>
          <w:p>
            <w:pPr>
              <w:jc w:val="left"/>
            </w:pPr>
            <w:r>
              <w:rPr>
                <w:rFonts w:ascii="Times New Roman" w:hAnsi="Times New Roman"/>
                <w:sz w:val="18"/>
              </w:rPr>
            </w:r>
            <w:r>
              <w:rPr>
                <w:rFonts w:ascii="Times New Roman" w:hAnsi="Times New Roman"/>
                <w:b w:val="0"/>
                <w:sz w:val="18"/>
              </w:rPr>
              <w:t>0,7511</w:t>
            </w:r>
          </w:p>
        </w:tc>
        <w:tc>
          <w:tcPr>
            <w:tcW w:type="dxa" w:w="1474"/>
            <w:vAlign w:val="center"/>
          </w:tcPr>
          <w:p>
            <w:pPr>
              <w:jc w:val="left"/>
            </w:pPr>
            <w:r>
              <w:rPr>
                <w:rFonts w:ascii="Times New Roman" w:hAnsi="Times New Roman"/>
                <w:sz w:val="18"/>
              </w:rPr>
            </w:r>
            <w:r>
              <w:rPr>
                <w:rFonts w:ascii="Times New Roman" w:hAnsi="Times New Roman"/>
                <w:b w:val="0"/>
                <w:sz w:val="18"/>
              </w:rPr>
              <w:t>0,9742</w:t>
            </w:r>
          </w:p>
        </w:tc>
        <w:tc>
          <w:tcPr>
            <w:tcW w:type="dxa" w:w="1474"/>
            <w:vAlign w:val="center"/>
          </w:tcPr>
          <w:p>
            <w:pPr>
              <w:jc w:val="left"/>
            </w:pPr>
            <w:r>
              <w:rPr>
                <w:rFonts w:ascii="Times New Roman" w:hAnsi="Times New Roman"/>
                <w:sz w:val="18"/>
              </w:rPr>
            </w:r>
            <w:r>
              <w:rPr>
                <w:rFonts w:ascii="Times New Roman" w:hAnsi="Times New Roman"/>
                <w:b w:val="0"/>
                <w:sz w:val="18"/>
              </w:rPr>
              <w:t>0,6131</w:t>
            </w:r>
          </w:p>
        </w:tc>
      </w:tr>
      <w:tr>
        <w:tc>
          <w:tcPr>
            <w:tcW w:type="dxa" w:w="2835"/>
            <w:vAlign w:val="center"/>
          </w:tcPr>
          <w:p>
            <w:pPr>
              <w:jc w:val="left"/>
            </w:pPr>
            <w:r>
              <w:rPr>
                <w:rFonts w:ascii="Times New Roman" w:hAnsi="Times New Roman"/>
                <w:sz w:val="18"/>
              </w:rPr>
            </w:r>
            <w:r>
              <w:rPr>
                <w:rFonts w:ascii="Times New Roman" w:hAnsi="Times New Roman"/>
                <w:b w:val="0"/>
                <w:sz w:val="18"/>
              </w:rPr>
              <w:t>RoBERTa</w:t>
            </w:r>
          </w:p>
        </w:tc>
        <w:tc>
          <w:tcPr>
            <w:tcW w:type="dxa" w:w="1474"/>
            <w:vAlign w:val="center"/>
          </w:tcPr>
          <w:p>
            <w:pPr>
              <w:jc w:val="left"/>
            </w:pPr>
            <w:r>
              <w:rPr>
                <w:rFonts w:ascii="Times New Roman" w:hAnsi="Times New Roman"/>
                <w:sz w:val="18"/>
              </w:rPr>
            </w:r>
            <w:r>
              <w:rPr>
                <w:rFonts w:ascii="Times New Roman" w:hAnsi="Times New Roman"/>
                <w:b w:val="0"/>
                <w:sz w:val="18"/>
              </w:rPr>
              <w:t>0,8651</w:t>
            </w:r>
          </w:p>
        </w:tc>
        <w:tc>
          <w:tcPr>
            <w:tcW w:type="dxa" w:w="1474"/>
            <w:vAlign w:val="center"/>
          </w:tcPr>
          <w:p>
            <w:pPr>
              <w:jc w:val="left"/>
            </w:pPr>
            <w:r>
              <w:rPr>
                <w:rFonts w:ascii="Times New Roman" w:hAnsi="Times New Roman"/>
                <w:sz w:val="18"/>
              </w:rPr>
            </w:r>
            <w:r>
              <w:rPr>
                <w:rFonts w:ascii="Times New Roman" w:hAnsi="Times New Roman"/>
                <w:b w:val="0"/>
                <w:sz w:val="18"/>
              </w:rPr>
              <w:t>0,8138</w:t>
            </w:r>
          </w:p>
        </w:tc>
        <w:tc>
          <w:tcPr>
            <w:tcW w:type="dxa" w:w="1474"/>
            <w:vAlign w:val="center"/>
          </w:tcPr>
          <w:p>
            <w:pPr>
              <w:jc w:val="left"/>
            </w:pPr>
            <w:r>
              <w:rPr>
                <w:rFonts w:ascii="Times New Roman" w:hAnsi="Times New Roman"/>
                <w:sz w:val="18"/>
              </w:rPr>
            </w:r>
            <w:r>
              <w:rPr>
                <w:rFonts w:ascii="Times New Roman" w:hAnsi="Times New Roman"/>
                <w:b w:val="0"/>
                <w:sz w:val="18"/>
              </w:rPr>
              <w:t>0,9957</w:t>
            </w:r>
          </w:p>
        </w:tc>
        <w:tc>
          <w:tcPr>
            <w:tcW w:type="dxa" w:w="1474"/>
            <w:vAlign w:val="center"/>
          </w:tcPr>
          <w:p>
            <w:pPr>
              <w:jc w:val="left"/>
            </w:pPr>
            <w:r>
              <w:rPr>
                <w:rFonts w:ascii="Times New Roman" w:hAnsi="Times New Roman"/>
                <w:sz w:val="18"/>
              </w:rPr>
            </w:r>
            <w:r>
              <w:rPr>
                <w:rFonts w:ascii="Times New Roman" w:hAnsi="Times New Roman"/>
                <w:b w:val="0"/>
                <w:sz w:val="18"/>
              </w:rPr>
              <w:t>0,6388</w:t>
            </w:r>
          </w:p>
        </w:tc>
      </w:tr>
    </w:tbl>
    <w:p>
      <w:pPr>
        <w:spacing w:line="360" w:lineRule="auto" w:after="120"/>
        <w:jc w:val="both"/>
      </w:pPr>
    </w:p>
    <w:p>
      <w:pPr>
        <w:spacing w:line="360" w:lineRule="auto" w:after="120"/>
        <w:ind w:firstLine="720"/>
        <w:jc w:val="both"/>
      </w:pPr>
      <w:r>
        <w:rPr>
          <w:rFonts w:ascii="Times New Roman" w:hAnsi="Times New Roman"/>
          <w:sz w:val="24"/>
        </w:rPr>
        <w:t>Sonuçlar tek bir evrensel en iyi model bulunmadığını göstermektedir. RoBERTa ana veri seti ve yakın alan S&amp;P 500 testinde en başarılı modeldir. FinBERT ise Reuters gibi daha geleneksel finans haberi dağılımında üstünlük sağlamıştır. Bu nedenle model seçimi hedef uygulamanın metin türüne göre yapılmalıdır.</w:t>
      </w:r>
    </w:p>
    <w:p>
      <w:pPr>
        <w:pStyle w:val="Heading2"/>
        <w:spacing w:before="240" w:after="120"/>
      </w:pPr>
      <w:r>
        <w:t>4.7. Tamamlayıcı/Keşifsel Analiz: Sıfır Örnekli NLI Modelleri</w:t>
      </w:r>
    </w:p>
    <w:p>
      <w:pPr>
        <w:spacing w:line="360" w:lineRule="auto" w:after="120"/>
        <w:ind w:firstLine="720"/>
        <w:jc w:val="both"/>
      </w:pPr>
      <w:r>
        <w:t>Bu bölümdeki sıfır örnekli deneyler, çalışmanın temel hipotezlerini sınamak amacıyla değil, etiketli eğitim verisi kullanılmadığında elde edilebilecek başlangıç performansını keşifsel olarak değerlendirmek amacıyla gerçekleştirilmiştir. S&amp;P 500 anotasyon setinde en iyi sonuç BART-large-MNLI tarafından 0,6594 doğruluk ve 0,5580 makro F1 ile elde edilmiştir. Bununla birlikte tarafsız sınıf F1 değeri yalnızca 0,1199 olarak ölçülmüş, diğer NLI modellerinde bu değer daha da düşük kalmıştır. Sonuçlar, sıfır örnekli NLI modellerinin hızlı bir başlangıç ölçütü sağlayabildiğini; ancak veri setine özgü finansal tarafsızlık kararını öğrenmeden denetimli ince ayarlı modellerin yerini alamadığını göstermektedir.</w:t>
      </w:r>
    </w:p>
    <w:tbl>
      <w:tblPr>
        <w:tblStyle w:val="TableGrid"/>
        <w:tblW w:type="auto" w:w="0"/>
        <w:jc w:val="center"/>
        <w:tblLook w:firstColumn="1" w:firstRow="1" w:lastColumn="0" w:lastRow="0" w:noHBand="0" w:noVBand="1" w:val="04A0"/>
      </w:tblPr>
      <w:tblGrid>
        <w:gridCol w:w="982"/>
        <w:gridCol w:w="982"/>
        <w:gridCol w:w="982"/>
        <w:gridCol w:w="982"/>
        <w:gridCol w:w="982"/>
        <w:gridCol w:w="982"/>
        <w:gridCol w:w="982"/>
        <w:gridCol w:w="982"/>
        <w:gridCol w:w="982"/>
      </w:tblGrid>
      <w:tr>
        <w:trPr>
          <w:tblHeader w:val="true"/>
        </w:trPr>
        <w:tc>
          <w:tcPr>
            <w:tcW w:type="dxa" w:w="982"/>
            <w:vAlign w:val="center"/>
            <w:shd w:fill="D9EAF7"/>
          </w:tcPr>
          <w:p>
            <w:pPr>
              <w:jc w:val="center"/>
            </w:pPr>
            <w:r>
              <w:rPr>
                <w:rFonts w:ascii="Times New Roman" w:hAnsi="Times New Roman"/>
                <w:b/>
                <w:sz w:val="16"/>
              </w:rPr>
              <w:t>Model</w:t>
            </w:r>
          </w:p>
        </w:tc>
        <w:tc>
          <w:tcPr>
            <w:tcW w:type="dxa" w:w="982"/>
            <w:vAlign w:val="center"/>
            <w:shd w:fill="D9EAF7"/>
          </w:tcPr>
          <w:p>
            <w:pPr>
              <w:jc w:val="center"/>
            </w:pPr>
            <w:r>
              <w:rPr>
                <w:rFonts w:ascii="Times New Roman" w:hAnsi="Times New Roman"/>
                <w:b/>
                <w:sz w:val="16"/>
              </w:rPr>
              <w:t>N</w:t>
            </w:r>
          </w:p>
        </w:tc>
        <w:tc>
          <w:tcPr>
            <w:tcW w:type="dxa" w:w="982"/>
            <w:vAlign w:val="center"/>
            <w:shd w:fill="D9EAF7"/>
          </w:tcPr>
          <w:p>
            <w:pPr>
              <w:jc w:val="center"/>
            </w:pPr>
            <w:r>
              <w:rPr>
                <w:rFonts w:ascii="Times New Roman" w:hAnsi="Times New Roman"/>
                <w:b/>
                <w:sz w:val="16"/>
              </w:rPr>
              <w:t>Doğruluk</w:t>
            </w:r>
          </w:p>
        </w:tc>
        <w:tc>
          <w:tcPr>
            <w:tcW w:type="dxa" w:w="982"/>
            <w:vAlign w:val="center"/>
            <w:shd w:fill="D9EAF7"/>
          </w:tcPr>
          <w:p>
            <w:pPr>
              <w:jc w:val="center"/>
            </w:pPr>
            <w:r>
              <w:rPr>
                <w:rFonts w:ascii="Times New Roman" w:hAnsi="Times New Roman"/>
                <w:b/>
                <w:sz w:val="16"/>
              </w:rPr>
              <w:t>Makro kesinlik</w:t>
            </w:r>
          </w:p>
        </w:tc>
        <w:tc>
          <w:tcPr>
            <w:tcW w:type="dxa" w:w="982"/>
            <w:vAlign w:val="center"/>
            <w:shd w:fill="D9EAF7"/>
          </w:tcPr>
          <w:p>
            <w:pPr>
              <w:jc w:val="center"/>
            </w:pPr>
            <w:r>
              <w:rPr>
                <w:rFonts w:ascii="Times New Roman" w:hAnsi="Times New Roman"/>
                <w:b/>
                <w:sz w:val="16"/>
              </w:rPr>
              <w:t>Makro duyarlılık</w:t>
            </w:r>
          </w:p>
        </w:tc>
        <w:tc>
          <w:tcPr>
            <w:tcW w:type="dxa" w:w="982"/>
            <w:vAlign w:val="center"/>
            <w:shd w:fill="D9EAF7"/>
          </w:tcPr>
          <w:p>
            <w:pPr>
              <w:jc w:val="center"/>
            </w:pPr>
            <w:r>
              <w:rPr>
                <w:rFonts w:ascii="Times New Roman" w:hAnsi="Times New Roman"/>
                <w:b/>
                <w:sz w:val="16"/>
              </w:rPr>
              <w:t>Makro F1</w:t>
            </w:r>
          </w:p>
        </w:tc>
        <w:tc>
          <w:tcPr>
            <w:tcW w:type="dxa" w:w="982"/>
            <w:vAlign w:val="center"/>
            <w:shd w:fill="D9EAF7"/>
          </w:tcPr>
          <w:p>
            <w:pPr>
              <w:jc w:val="center"/>
            </w:pPr>
            <w:r>
              <w:rPr>
                <w:rFonts w:ascii="Times New Roman" w:hAnsi="Times New Roman"/>
                <w:b/>
                <w:sz w:val="16"/>
              </w:rPr>
              <w:t>F1-neg</w:t>
            </w:r>
          </w:p>
        </w:tc>
        <w:tc>
          <w:tcPr>
            <w:tcW w:type="dxa" w:w="982"/>
            <w:vAlign w:val="center"/>
            <w:shd w:fill="D9EAF7"/>
          </w:tcPr>
          <w:p>
            <w:pPr>
              <w:jc w:val="center"/>
            </w:pPr>
            <w:r>
              <w:rPr>
                <w:rFonts w:ascii="Times New Roman" w:hAnsi="Times New Roman"/>
                <w:b/>
                <w:sz w:val="16"/>
              </w:rPr>
              <w:t>F1-tar</w:t>
            </w:r>
          </w:p>
        </w:tc>
        <w:tc>
          <w:tcPr>
            <w:tcW w:type="dxa" w:w="982"/>
            <w:vAlign w:val="center"/>
            <w:shd w:fill="D9EAF7"/>
          </w:tcPr>
          <w:p>
            <w:pPr>
              <w:jc w:val="center"/>
            </w:pPr>
            <w:r>
              <w:rPr>
                <w:rFonts w:ascii="Times New Roman" w:hAnsi="Times New Roman"/>
                <w:b/>
                <w:sz w:val="16"/>
              </w:rPr>
              <w:t>F1-poz</w:t>
            </w:r>
          </w:p>
        </w:tc>
      </w:tr>
      <w:tr>
        <w:tc>
          <w:tcPr>
            <w:tcW w:type="dxa" w:w="982"/>
            <w:vAlign w:val="center"/>
          </w:tcPr>
          <w:p>
            <w:pPr>
              <w:jc w:val="left"/>
            </w:pPr>
            <w:r>
              <w:rPr>
                <w:rFonts w:ascii="Times New Roman" w:hAnsi="Times New Roman"/>
                <w:sz w:val="16"/>
              </w:rPr>
              <w:t>BART-large-MNLI zero-shot</w:t>
            </w:r>
          </w:p>
        </w:tc>
        <w:tc>
          <w:tcPr>
            <w:tcW w:type="dxa" w:w="982"/>
            <w:vAlign w:val="center"/>
          </w:tcPr>
          <w:p>
            <w:pPr>
              <w:jc w:val="left"/>
            </w:pPr>
            <w:r>
              <w:rPr>
                <w:rFonts w:ascii="Times New Roman" w:hAnsi="Times New Roman"/>
                <w:sz w:val="16"/>
              </w:rPr>
              <w:t>1060</w:t>
            </w:r>
          </w:p>
        </w:tc>
        <w:tc>
          <w:tcPr>
            <w:tcW w:type="dxa" w:w="982"/>
            <w:vAlign w:val="center"/>
          </w:tcPr>
          <w:p>
            <w:pPr>
              <w:jc w:val="left"/>
            </w:pPr>
            <w:r>
              <w:rPr>
                <w:rFonts w:ascii="Times New Roman" w:hAnsi="Times New Roman"/>
                <w:sz w:val="16"/>
              </w:rPr>
              <w:t>0.6594</w:t>
            </w:r>
          </w:p>
        </w:tc>
        <w:tc>
          <w:tcPr>
            <w:tcW w:type="dxa" w:w="982"/>
            <w:vAlign w:val="center"/>
          </w:tcPr>
          <w:p>
            <w:pPr>
              <w:jc w:val="left"/>
            </w:pPr>
            <w:r>
              <w:rPr>
                <w:rFonts w:ascii="Times New Roman" w:hAnsi="Times New Roman"/>
                <w:sz w:val="16"/>
              </w:rPr>
              <w:t>0.7043</w:t>
            </w:r>
          </w:p>
        </w:tc>
        <w:tc>
          <w:tcPr>
            <w:tcW w:type="dxa" w:w="982"/>
            <w:vAlign w:val="center"/>
          </w:tcPr>
          <w:p>
            <w:pPr>
              <w:jc w:val="left"/>
            </w:pPr>
            <w:r>
              <w:rPr>
                <w:rFonts w:ascii="Times New Roman" w:hAnsi="Times New Roman"/>
                <w:sz w:val="16"/>
              </w:rPr>
              <w:t>0.6479</w:t>
            </w:r>
          </w:p>
        </w:tc>
        <w:tc>
          <w:tcPr>
            <w:tcW w:type="dxa" w:w="982"/>
            <w:vAlign w:val="center"/>
          </w:tcPr>
          <w:p>
            <w:pPr>
              <w:jc w:val="left"/>
            </w:pPr>
            <w:r>
              <w:rPr>
                <w:rFonts w:ascii="Times New Roman" w:hAnsi="Times New Roman"/>
                <w:sz w:val="16"/>
              </w:rPr>
              <w:t>0.5580</w:t>
            </w:r>
          </w:p>
        </w:tc>
        <w:tc>
          <w:tcPr>
            <w:tcW w:type="dxa" w:w="982"/>
            <w:vAlign w:val="center"/>
          </w:tcPr>
          <w:p>
            <w:pPr>
              <w:jc w:val="left"/>
            </w:pPr>
            <w:r>
              <w:rPr>
                <w:rFonts w:ascii="Times New Roman" w:hAnsi="Times New Roman"/>
                <w:sz w:val="16"/>
              </w:rPr>
              <w:t>0.8101</w:t>
            </w:r>
          </w:p>
        </w:tc>
        <w:tc>
          <w:tcPr>
            <w:tcW w:type="dxa" w:w="982"/>
            <w:vAlign w:val="center"/>
          </w:tcPr>
          <w:p>
            <w:pPr>
              <w:jc w:val="left"/>
            </w:pPr>
            <w:r>
              <w:rPr>
                <w:rFonts w:ascii="Times New Roman" w:hAnsi="Times New Roman"/>
                <w:sz w:val="16"/>
              </w:rPr>
              <w:t>0.1199</w:t>
            </w:r>
          </w:p>
        </w:tc>
        <w:tc>
          <w:tcPr>
            <w:tcW w:type="dxa" w:w="982"/>
            <w:vAlign w:val="center"/>
          </w:tcPr>
          <w:p>
            <w:pPr>
              <w:jc w:val="left"/>
            </w:pPr>
            <w:r>
              <w:rPr>
                <w:rFonts w:ascii="Times New Roman" w:hAnsi="Times New Roman"/>
                <w:sz w:val="16"/>
              </w:rPr>
              <w:t>0.7440</w:t>
            </w:r>
          </w:p>
        </w:tc>
      </w:tr>
      <w:tr>
        <w:tc>
          <w:tcPr>
            <w:tcW w:type="dxa" w:w="982"/>
            <w:vAlign w:val="center"/>
          </w:tcPr>
          <w:p>
            <w:pPr>
              <w:jc w:val="left"/>
            </w:pPr>
            <w:r>
              <w:rPr>
                <w:rFonts w:ascii="Times New Roman" w:hAnsi="Times New Roman"/>
                <w:sz w:val="16"/>
              </w:rPr>
              <w:t>RoBERTa-base NLI zero-shot</w:t>
            </w:r>
          </w:p>
        </w:tc>
        <w:tc>
          <w:tcPr>
            <w:tcW w:type="dxa" w:w="982"/>
            <w:vAlign w:val="center"/>
          </w:tcPr>
          <w:p>
            <w:pPr>
              <w:jc w:val="left"/>
            </w:pPr>
            <w:r>
              <w:rPr>
                <w:rFonts w:ascii="Times New Roman" w:hAnsi="Times New Roman"/>
                <w:sz w:val="16"/>
              </w:rPr>
              <w:t>1060</w:t>
            </w:r>
          </w:p>
        </w:tc>
        <w:tc>
          <w:tcPr>
            <w:tcW w:type="dxa" w:w="982"/>
            <w:vAlign w:val="center"/>
          </w:tcPr>
          <w:p>
            <w:pPr>
              <w:jc w:val="left"/>
            </w:pPr>
            <w:r>
              <w:rPr>
                <w:rFonts w:ascii="Times New Roman" w:hAnsi="Times New Roman"/>
                <w:sz w:val="16"/>
              </w:rPr>
              <w:t>0.6085</w:t>
            </w:r>
          </w:p>
        </w:tc>
        <w:tc>
          <w:tcPr>
            <w:tcW w:type="dxa" w:w="982"/>
            <w:vAlign w:val="center"/>
          </w:tcPr>
          <w:p>
            <w:pPr>
              <w:jc w:val="left"/>
            </w:pPr>
            <w:r>
              <w:rPr>
                <w:rFonts w:ascii="Times New Roman" w:hAnsi="Times New Roman"/>
                <w:sz w:val="16"/>
              </w:rPr>
              <w:t>0.7423</w:t>
            </w:r>
          </w:p>
        </w:tc>
        <w:tc>
          <w:tcPr>
            <w:tcW w:type="dxa" w:w="982"/>
            <w:vAlign w:val="center"/>
          </w:tcPr>
          <w:p>
            <w:pPr>
              <w:jc w:val="left"/>
            </w:pPr>
            <w:r>
              <w:rPr>
                <w:rFonts w:ascii="Times New Roman" w:hAnsi="Times New Roman"/>
                <w:sz w:val="16"/>
              </w:rPr>
              <w:t>0.5966</w:t>
            </w:r>
          </w:p>
        </w:tc>
        <w:tc>
          <w:tcPr>
            <w:tcW w:type="dxa" w:w="982"/>
            <w:vAlign w:val="center"/>
          </w:tcPr>
          <w:p>
            <w:pPr>
              <w:jc w:val="left"/>
            </w:pPr>
            <w:r>
              <w:rPr>
                <w:rFonts w:ascii="Times New Roman" w:hAnsi="Times New Roman"/>
                <w:sz w:val="16"/>
              </w:rPr>
              <w:t>0.4913</w:t>
            </w:r>
          </w:p>
        </w:tc>
        <w:tc>
          <w:tcPr>
            <w:tcW w:type="dxa" w:w="982"/>
            <w:vAlign w:val="center"/>
          </w:tcPr>
          <w:p>
            <w:pPr>
              <w:jc w:val="left"/>
            </w:pPr>
            <w:r>
              <w:rPr>
                <w:rFonts w:ascii="Times New Roman" w:hAnsi="Times New Roman"/>
                <w:sz w:val="16"/>
              </w:rPr>
              <w:t>0.7523</w:t>
            </w:r>
          </w:p>
        </w:tc>
        <w:tc>
          <w:tcPr>
            <w:tcW w:type="dxa" w:w="982"/>
            <w:vAlign w:val="center"/>
          </w:tcPr>
          <w:p>
            <w:pPr>
              <w:jc w:val="left"/>
            </w:pPr>
            <w:r>
              <w:rPr>
                <w:rFonts w:ascii="Times New Roman" w:hAnsi="Times New Roman"/>
                <w:sz w:val="16"/>
              </w:rPr>
              <w:t>0.0233</w:t>
            </w:r>
          </w:p>
        </w:tc>
        <w:tc>
          <w:tcPr>
            <w:tcW w:type="dxa" w:w="982"/>
            <w:vAlign w:val="center"/>
          </w:tcPr>
          <w:p>
            <w:pPr>
              <w:jc w:val="left"/>
            </w:pPr>
            <w:r>
              <w:rPr>
                <w:rFonts w:ascii="Times New Roman" w:hAnsi="Times New Roman"/>
                <w:sz w:val="16"/>
              </w:rPr>
              <w:t>0.6982</w:t>
            </w:r>
          </w:p>
        </w:tc>
      </w:tr>
      <w:tr>
        <w:tc>
          <w:tcPr>
            <w:tcW w:type="dxa" w:w="982"/>
            <w:vAlign w:val="center"/>
          </w:tcPr>
          <w:p>
            <w:pPr>
              <w:jc w:val="left"/>
            </w:pPr>
            <w:r>
              <w:rPr>
                <w:rFonts w:ascii="Times New Roman" w:hAnsi="Times New Roman"/>
                <w:sz w:val="16"/>
              </w:rPr>
              <w:t>BERT-base MNLI zero-shot</w:t>
            </w:r>
          </w:p>
        </w:tc>
        <w:tc>
          <w:tcPr>
            <w:tcW w:type="dxa" w:w="982"/>
            <w:vAlign w:val="center"/>
          </w:tcPr>
          <w:p>
            <w:pPr>
              <w:jc w:val="left"/>
            </w:pPr>
            <w:r>
              <w:rPr>
                <w:rFonts w:ascii="Times New Roman" w:hAnsi="Times New Roman"/>
                <w:sz w:val="16"/>
              </w:rPr>
              <w:t>1060</w:t>
            </w:r>
          </w:p>
        </w:tc>
        <w:tc>
          <w:tcPr>
            <w:tcW w:type="dxa" w:w="982"/>
            <w:vAlign w:val="center"/>
          </w:tcPr>
          <w:p>
            <w:pPr>
              <w:jc w:val="left"/>
            </w:pPr>
            <w:r>
              <w:rPr>
                <w:rFonts w:ascii="Times New Roman" w:hAnsi="Times New Roman"/>
                <w:sz w:val="16"/>
              </w:rPr>
              <w:t>0.5057</w:t>
            </w:r>
          </w:p>
        </w:tc>
        <w:tc>
          <w:tcPr>
            <w:tcW w:type="dxa" w:w="982"/>
            <w:vAlign w:val="center"/>
          </w:tcPr>
          <w:p>
            <w:pPr>
              <w:jc w:val="left"/>
            </w:pPr>
            <w:r>
              <w:rPr>
                <w:rFonts w:ascii="Times New Roman" w:hAnsi="Times New Roman"/>
                <w:sz w:val="16"/>
              </w:rPr>
              <w:t>0.3951</w:t>
            </w:r>
          </w:p>
        </w:tc>
        <w:tc>
          <w:tcPr>
            <w:tcW w:type="dxa" w:w="982"/>
            <w:vAlign w:val="center"/>
          </w:tcPr>
          <w:p>
            <w:pPr>
              <w:jc w:val="left"/>
            </w:pPr>
            <w:r>
              <w:rPr>
                <w:rFonts w:ascii="Times New Roman" w:hAnsi="Times New Roman"/>
                <w:sz w:val="16"/>
              </w:rPr>
              <w:t>0.4930</w:t>
            </w:r>
          </w:p>
        </w:tc>
        <w:tc>
          <w:tcPr>
            <w:tcW w:type="dxa" w:w="982"/>
            <w:vAlign w:val="center"/>
          </w:tcPr>
          <w:p>
            <w:pPr>
              <w:jc w:val="left"/>
            </w:pPr>
            <w:r>
              <w:rPr>
                <w:rFonts w:ascii="Times New Roman" w:hAnsi="Times New Roman"/>
                <w:sz w:val="16"/>
              </w:rPr>
              <w:t>0.4033</w:t>
            </w:r>
          </w:p>
        </w:tc>
        <w:tc>
          <w:tcPr>
            <w:tcW w:type="dxa" w:w="982"/>
            <w:vAlign w:val="center"/>
          </w:tcPr>
          <w:p>
            <w:pPr>
              <w:jc w:val="left"/>
            </w:pPr>
            <w:r>
              <w:rPr>
                <w:rFonts w:ascii="Times New Roman" w:hAnsi="Times New Roman"/>
                <w:sz w:val="16"/>
              </w:rPr>
              <w:t>0.5963</w:t>
            </w:r>
          </w:p>
        </w:tc>
        <w:tc>
          <w:tcPr>
            <w:tcW w:type="dxa" w:w="982"/>
            <w:vAlign w:val="center"/>
          </w:tcPr>
          <w:p>
            <w:pPr>
              <w:jc w:val="left"/>
            </w:pPr>
            <w:r>
              <w:rPr>
                <w:rFonts w:ascii="Times New Roman" w:hAnsi="Times New Roman"/>
                <w:sz w:val="16"/>
              </w:rPr>
              <w:t>0.0058</w:t>
            </w:r>
          </w:p>
        </w:tc>
        <w:tc>
          <w:tcPr>
            <w:tcW w:type="dxa" w:w="982"/>
            <w:vAlign w:val="center"/>
          </w:tcPr>
          <w:p>
            <w:pPr>
              <w:jc w:val="left"/>
            </w:pPr>
            <w:r>
              <w:rPr>
                <w:rFonts w:ascii="Times New Roman" w:hAnsi="Times New Roman"/>
                <w:sz w:val="16"/>
              </w:rPr>
              <w:t>0.6077</w:t>
            </w:r>
          </w:p>
        </w:tc>
      </w:tr>
      <w:tr>
        <w:tc>
          <w:tcPr>
            <w:tcW w:type="dxa" w:w="982"/>
            <w:vAlign w:val="center"/>
          </w:tcPr>
          <w:p>
            <w:pPr>
              <w:jc w:val="left"/>
            </w:pPr>
            <w:r>
              <w:rPr>
                <w:rFonts w:ascii="Times New Roman" w:hAnsi="Times New Roman"/>
                <w:sz w:val="16"/>
              </w:rPr>
              <w:t>DistilBERT-base MNLI zero-shot</w:t>
            </w:r>
          </w:p>
        </w:tc>
        <w:tc>
          <w:tcPr>
            <w:tcW w:type="dxa" w:w="982"/>
            <w:vAlign w:val="center"/>
          </w:tcPr>
          <w:p>
            <w:pPr>
              <w:jc w:val="left"/>
            </w:pPr>
            <w:r>
              <w:rPr>
                <w:rFonts w:ascii="Times New Roman" w:hAnsi="Times New Roman"/>
                <w:sz w:val="16"/>
              </w:rPr>
              <w:t>1060</w:t>
            </w:r>
          </w:p>
        </w:tc>
        <w:tc>
          <w:tcPr>
            <w:tcW w:type="dxa" w:w="982"/>
            <w:vAlign w:val="center"/>
          </w:tcPr>
          <w:p>
            <w:pPr>
              <w:jc w:val="left"/>
            </w:pPr>
            <w:r>
              <w:rPr>
                <w:rFonts w:ascii="Times New Roman" w:hAnsi="Times New Roman"/>
                <w:sz w:val="16"/>
              </w:rPr>
              <w:t>0.4679</w:t>
            </w:r>
          </w:p>
        </w:tc>
        <w:tc>
          <w:tcPr>
            <w:tcW w:type="dxa" w:w="982"/>
            <w:vAlign w:val="center"/>
          </w:tcPr>
          <w:p>
            <w:pPr>
              <w:jc w:val="left"/>
            </w:pPr>
            <w:r>
              <w:rPr>
                <w:rFonts w:ascii="Times New Roman" w:hAnsi="Times New Roman"/>
                <w:sz w:val="16"/>
              </w:rPr>
              <w:t>0.5502</w:t>
            </w:r>
          </w:p>
        </w:tc>
        <w:tc>
          <w:tcPr>
            <w:tcW w:type="dxa" w:w="982"/>
            <w:vAlign w:val="center"/>
          </w:tcPr>
          <w:p>
            <w:pPr>
              <w:jc w:val="left"/>
            </w:pPr>
            <w:r>
              <w:rPr>
                <w:rFonts w:ascii="Times New Roman" w:hAnsi="Times New Roman"/>
                <w:sz w:val="16"/>
              </w:rPr>
              <w:t>0.4760</w:t>
            </w:r>
          </w:p>
        </w:tc>
        <w:tc>
          <w:tcPr>
            <w:tcW w:type="dxa" w:w="982"/>
            <w:vAlign w:val="center"/>
          </w:tcPr>
          <w:p>
            <w:pPr>
              <w:jc w:val="left"/>
            </w:pPr>
            <w:r>
              <w:rPr>
                <w:rFonts w:ascii="Times New Roman" w:hAnsi="Times New Roman"/>
                <w:sz w:val="16"/>
              </w:rPr>
              <w:t>0.3880</w:t>
            </w:r>
          </w:p>
        </w:tc>
        <w:tc>
          <w:tcPr>
            <w:tcW w:type="dxa" w:w="982"/>
            <w:vAlign w:val="center"/>
          </w:tcPr>
          <w:p>
            <w:pPr>
              <w:jc w:val="left"/>
            </w:pPr>
            <w:r>
              <w:rPr>
                <w:rFonts w:ascii="Times New Roman" w:hAnsi="Times New Roman"/>
                <w:sz w:val="16"/>
              </w:rPr>
              <w:t>0.5663</w:t>
            </w:r>
          </w:p>
        </w:tc>
        <w:tc>
          <w:tcPr>
            <w:tcW w:type="dxa" w:w="982"/>
            <w:vAlign w:val="center"/>
          </w:tcPr>
          <w:p>
            <w:pPr>
              <w:jc w:val="left"/>
            </w:pPr>
            <w:r>
              <w:rPr>
                <w:rFonts w:ascii="Times New Roman" w:hAnsi="Times New Roman"/>
                <w:sz w:val="16"/>
              </w:rPr>
              <w:t>0.0776</w:t>
            </w:r>
          </w:p>
        </w:tc>
        <w:tc>
          <w:tcPr>
            <w:tcW w:type="dxa" w:w="982"/>
            <w:vAlign w:val="center"/>
          </w:tcPr>
          <w:p>
            <w:pPr>
              <w:jc w:val="left"/>
            </w:pPr>
            <w:r>
              <w:rPr>
                <w:rFonts w:ascii="Times New Roman" w:hAnsi="Times New Roman"/>
                <w:sz w:val="16"/>
              </w:rPr>
              <w:t>0.5201</w:t>
            </w:r>
          </w:p>
        </w:tc>
      </w:tr>
    </w:tbl>
    <w:p>
      <w:pPr>
        <w:spacing w:line="360" w:lineRule="auto" w:after="120"/>
        <w:jc w:val="both"/>
      </w:pPr>
      <w:r>
        <w:rPr>
          <w:rFonts w:ascii="Times New Roman" w:hAnsi="Times New Roman"/>
          <w:i/>
          <w:sz w:val="20"/>
        </w:rPr>
        <w:t>Tablo 8. S&amp;P 500 sıfır örnekli model sonuçları</w:t>
      </w:r>
    </w:p>
    <w:p>
      <w:pPr>
        <w:pStyle w:val="Heading2"/>
      </w:pPr>
      <w:r>
        <w:rPr>
          <w:rFonts w:ascii="Times New Roman" w:hAnsi="Times New Roman"/>
        </w:rPr>
        <w:t>4.8. Karışıklık Matrisleri ve Sınıf Bazlı Hata Örüntüleri</w:t>
      </w:r>
    </w:p>
    <w:p>
      <w:pPr>
        <w:spacing w:line="360" w:lineRule="auto" w:after="120"/>
        <w:ind w:firstLine="720"/>
        <w:jc w:val="both"/>
      </w:pPr>
      <w:r>
        <w:rPr>
          <w:rFonts w:ascii="Times New Roman" w:hAnsi="Times New Roman"/>
          <w:sz w:val="24"/>
        </w:rPr>
        <w:t>Karışıklık matrisleri, toplam başarı değerlerinin hangi sınıf geçişlerinden kaynaklandığını göstermektedir. İç testte RoBERTa tarafsız sınıfta yüksek doğru tahmin sayısına ulaşırken 67 tarafsız örneği negatif olarak sınıflandırmıştır. S&amp;P 500 dış testinde hazır FinBERT için tarafsızdan negatife hata oranı %10,62 iken bu oran RoBERTa için %5,60, BERT için %4,42 ve DistilBERT için %4,72 düzeyindedir. Buna karşın BERT ve DistilBERT gerçek negatif örnekleri tarafsız olarak sınıflandırmada daha fazla hata yapmış; bu durum makro F1 değerlerinin RoBERTa ve FinBERT’in gerisinde kalmasına katkıda bulunmuştur.</w:t>
      </w:r>
    </w:p>
    <w:p>
      <w:pPr>
        <w:spacing w:line="360" w:lineRule="auto" w:after="120"/>
        <w:jc w:val="center"/>
      </w:pPr>
      <w:r>
        <w:rPr>
          <w:rFonts w:ascii="Times New Roman" w:hAnsi="Times New Roman"/>
          <w:sz w:val="24"/>
        </w:rPr>
        <w:drawing>
          <ns2:inline>
            <ns2:extent cx="3780000" cy="3653094"/>
            <ns2:docPr id="3" name="Picture 3"/>
            <ns2:cNvGraphicFramePr>
              <ns3:graphicFrameLocks noChangeAspect="1"/>
            </ns2:cNvGraphicFramePr>
            <ns3:graphic>
              <ns3:graphicData uri="http://schemas.openxmlformats.org/drawingml/2006/picture">
                <ns4:pic>
                  <ns4:nvPicPr>
                    <ns4:cNvPr id="0" name="i̇ç_test___roberta.png"/>
                    <ns4:cNvPicPr/>
                  </ns4:nvPicPr>
                  <ns4:blipFill>
                    <ns3:blip ns5:embed="rId12"/>
                    <ns3:stretch>
                      <ns3:fillRect/>
                    </ns3:stretch>
                  </ns4:blipFill>
                  <ns4:spPr>
                    <ns3:xfrm>
                      <ns3:off x="0" y="0"/>
                      <ns3:ext cx="3780000" cy="3653094"/>
                    </ns3:xfrm>
                    <ns3:prstGeom prst="rect"/>
                  </ns4:spPr>
                </ns4:pic>
              </ns3:graphicData>
            </ns3:graphic>
          </ns2:inline>
        </w:drawing>
      </w:r>
    </w:p>
    <w:p>
      <w:pPr>
        <w:spacing w:line="360" w:lineRule="auto" w:after="120"/>
        <w:jc w:val="center"/>
      </w:pPr>
      <w:r>
        <w:rPr>
          <w:rFonts w:ascii="Times New Roman" w:hAnsi="Times New Roman"/>
          <w:i/>
          <w:sz w:val="20"/>
        </w:rPr>
        <w:t>Şekil 3. İç test - RoBERTa karışıklık matrisi</w:t>
      </w:r>
    </w:p>
    <w:p>
      <w:pPr>
        <w:spacing w:line="360" w:lineRule="auto" w:after="120"/>
        <w:jc w:val="center"/>
      </w:pPr>
      <w:r>
        <w:rPr>
          <w:rFonts w:ascii="Times New Roman" w:hAnsi="Times New Roman"/>
          <w:sz w:val="24"/>
        </w:rPr>
        <w:drawing>
          <ns2:inline>
            <ns2:extent cx="3780000" cy="3635484"/>
            <ns2:docPr id="4" name="Picture 4"/>
            <ns2:cNvGraphicFramePr>
              <ns3:graphicFrameLocks noChangeAspect="1"/>
            </ns2:cNvGraphicFramePr>
            <ns3:graphic>
              <ns3:graphicData uri="http://schemas.openxmlformats.org/drawingml/2006/picture">
                <ns4:pic>
                  <ns4:nvPicPr>
                    <ns4:cNvPr id="0" name="sp_500___finbert.png"/>
                    <ns4:cNvPicPr/>
                  </ns4:nvPicPr>
                  <ns4:blipFill>
                    <ns3:blip ns5:embed="rId13"/>
                    <ns3:stretch>
                      <ns3:fillRect/>
                    </ns3:stretch>
                  </ns4:blipFill>
                  <ns4:spPr>
                    <ns3:xfrm>
                      <ns3:off x="0" y="0"/>
                      <ns3:ext cx="3780000" cy="3635484"/>
                    </ns3:xfrm>
                    <ns3:prstGeom prst="rect"/>
                  </ns4:spPr>
                </ns4:pic>
              </ns3:graphicData>
            </ns3:graphic>
          </ns2:inline>
        </w:drawing>
      </w:r>
    </w:p>
    <w:p>
      <w:pPr>
        <w:spacing w:line="360" w:lineRule="auto" w:after="120"/>
        <w:jc w:val="center"/>
      </w:pPr>
      <w:r>
        <w:rPr>
          <w:rFonts w:ascii="Times New Roman" w:hAnsi="Times New Roman"/>
          <w:i/>
          <w:sz w:val="20"/>
        </w:rPr>
        <w:t>Şekil 4. S&amp;P 500 - FinBERT karışıklık matrisi</w:t>
      </w:r>
    </w:p>
    <w:p>
      <w:pPr>
        <w:spacing w:line="360" w:lineRule="auto" w:after="120"/>
        <w:jc w:val="center"/>
      </w:pPr>
      <w:r>
        <w:rPr>
          <w:rFonts w:ascii="Times New Roman" w:hAnsi="Times New Roman"/>
          <w:sz w:val="24"/>
        </w:rPr>
        <w:drawing>
          <ns2:inline>
            <ns2:extent cx="3780000" cy="3635484"/>
            <ns2:docPr id="5" name="Picture 5"/>
            <ns2:cNvGraphicFramePr>
              <ns3:graphicFrameLocks noChangeAspect="1"/>
            </ns2:cNvGraphicFramePr>
            <ns3:graphic>
              <ns3:graphicData uri="http://schemas.openxmlformats.org/drawingml/2006/picture">
                <ns4:pic>
                  <ns4:nvPicPr>
                    <ns4:cNvPr id="0" name="sp_500___roberta.png"/>
                    <ns4:cNvPicPr/>
                  </ns4:nvPicPr>
                  <ns4:blipFill>
                    <ns3:blip ns5:embed="rId14"/>
                    <ns3:stretch>
                      <ns3:fillRect/>
                    </ns3:stretch>
                  </ns4:blipFill>
                  <ns4:spPr>
                    <ns3:xfrm>
                      <ns3:off x="0" y="0"/>
                      <ns3:ext cx="3780000" cy="3635484"/>
                    </ns3:xfrm>
                    <ns3:prstGeom prst="rect"/>
                  </ns4:spPr>
                </ns4:pic>
              </ns3:graphicData>
            </ns3:graphic>
          </ns2:inline>
        </w:drawing>
      </w:r>
    </w:p>
    <w:p>
      <w:pPr>
        <w:spacing w:line="360" w:lineRule="auto" w:after="120"/>
        <w:jc w:val="center"/>
      </w:pPr>
      <w:r>
        <w:rPr>
          <w:rFonts w:ascii="Times New Roman" w:hAnsi="Times New Roman"/>
          <w:i/>
          <w:sz w:val="20"/>
        </w:rPr>
        <w:t>Şekil 5. S&amp;P 500 - RoBERTa karışıklık matrisi</w:t>
      </w:r>
    </w:p>
    <w:p>
      <w:pPr>
        <w:spacing w:line="360" w:lineRule="auto" w:after="120"/>
        <w:jc w:val="center"/>
      </w:pPr>
      <w:r>
        <w:rPr>
          <w:rFonts w:ascii="Times New Roman" w:hAnsi="Times New Roman"/>
          <w:sz w:val="24"/>
        </w:rPr>
        <w:drawing>
          <ns2:inline>
            <ns2:extent cx="3780000" cy="3635484"/>
            <ns2:docPr id="6" name="Picture 6"/>
            <ns2:cNvGraphicFramePr>
              <ns3:graphicFrameLocks noChangeAspect="1"/>
            </ns2:cNvGraphicFramePr>
            <ns3:graphic>
              <ns3:graphicData uri="http://schemas.openxmlformats.org/drawingml/2006/picture">
                <ns4:pic>
                  <ns4:nvPicPr>
                    <ns4:cNvPr id="0" name="sp_500___bert.png"/>
                    <ns4:cNvPicPr/>
                  </ns4:nvPicPr>
                  <ns4:blipFill>
                    <ns3:blip ns5:embed="rId15"/>
                    <ns3:stretch>
                      <ns3:fillRect/>
                    </ns3:stretch>
                  </ns4:blipFill>
                  <ns4:spPr>
                    <ns3:xfrm>
                      <ns3:off x="0" y="0"/>
                      <ns3:ext cx="3780000" cy="3635484"/>
                    </ns3:xfrm>
                    <ns3:prstGeom prst="rect"/>
                  </ns4:spPr>
                </ns4:pic>
              </ns3:graphicData>
            </ns3:graphic>
          </ns2:inline>
        </w:drawing>
      </w:r>
    </w:p>
    <w:p>
      <w:pPr>
        <w:spacing w:line="360" w:lineRule="auto" w:after="120"/>
        <w:jc w:val="center"/>
      </w:pPr>
      <w:r>
        <w:rPr>
          <w:rFonts w:ascii="Times New Roman" w:hAnsi="Times New Roman"/>
          <w:i/>
          <w:sz w:val="20"/>
        </w:rPr>
        <w:t>Şekil 6. S&amp;P 500 - BERT karışıklık matrisi</w:t>
      </w:r>
    </w:p>
    <w:p>
      <w:pPr>
        <w:spacing w:line="360" w:lineRule="auto" w:after="120"/>
        <w:jc w:val="center"/>
      </w:pPr>
      <w:r>
        <w:rPr>
          <w:rFonts w:ascii="Times New Roman" w:hAnsi="Times New Roman"/>
          <w:sz w:val="24"/>
        </w:rPr>
        <w:drawing>
          <ns2:inline>
            <ns2:extent cx="3780000" cy="3635484"/>
            <ns2:docPr id="7" name="Picture 7"/>
            <ns2:cNvGraphicFramePr>
              <ns3:graphicFrameLocks noChangeAspect="1"/>
            </ns2:cNvGraphicFramePr>
            <ns3:graphic>
              <ns3:graphicData uri="http://schemas.openxmlformats.org/drawingml/2006/picture">
                <ns4:pic>
                  <ns4:nvPicPr>
                    <ns4:cNvPr id="0" name="sp_500___distilbert.png"/>
                    <ns4:cNvPicPr/>
                  </ns4:nvPicPr>
                  <ns4:blipFill>
                    <ns3:blip ns5:embed="rId16"/>
                    <ns3:stretch>
                      <ns3:fillRect/>
                    </ns3:stretch>
                  </ns4:blipFill>
                  <ns4:spPr>
                    <ns3:xfrm>
                      <ns3:off x="0" y="0"/>
                      <ns3:ext cx="3780000" cy="3635484"/>
                    </ns3:xfrm>
                    <ns3:prstGeom prst="rect"/>
                  </ns4:spPr>
                </ns4:pic>
              </ns3:graphicData>
            </ns3:graphic>
          </ns2:inline>
        </w:drawing>
      </w:r>
    </w:p>
    <w:p>
      <w:pPr>
        <w:spacing w:line="360" w:lineRule="auto" w:after="120"/>
        <w:jc w:val="center"/>
      </w:pPr>
      <w:r>
        <w:rPr>
          <w:rFonts w:ascii="Times New Roman" w:hAnsi="Times New Roman"/>
          <w:i/>
          <w:sz w:val="20"/>
        </w:rPr>
        <w:t>Şekil 7. S&amp;P 500 - DistilBERT karışıklık matrisi</w:t>
      </w:r>
    </w:p>
    <w:p>
      <w:pPr>
        <w:pStyle w:val="Heading1"/>
        <w:spacing w:before="240" w:after="120"/>
      </w:pPr>
      <w:r>
        <w:rPr>
          <w:rFonts w:ascii="Times New Roman" w:hAnsi="Times New Roman"/>
        </w:rPr>
        <w:t>5. TARTIŞMA</w:t>
      </w:r>
    </w:p>
    <w:p>
      <w:pPr>
        <w:pStyle w:val="Heading2"/>
        <w:spacing w:before="240" w:after="120"/>
      </w:pPr>
      <w:r>
        <w:rPr>
          <w:rFonts w:ascii="Times New Roman" w:hAnsi="Times New Roman"/>
        </w:rPr>
        <w:t>5.1. Hedef Veri Setine Özgü İnce Ayarın Etkisi</w:t>
      </w:r>
    </w:p>
    <w:p>
      <w:pPr>
        <w:spacing w:line="360" w:lineRule="auto" w:after="120"/>
        <w:ind w:firstLine="720"/>
        <w:jc w:val="both"/>
      </w:pPr>
      <w:r>
        <w:rPr>
          <w:rFonts w:ascii="Times New Roman" w:hAnsi="Times New Roman"/>
          <w:sz w:val="24"/>
        </w:rPr>
        <w:t>İç test sonuçları, hedef veri setine özgü ince ayarın güçlü etkisini açık biçimde göstermektedir. Üç genel amaçlı modelin tamamı hazır FinBERT'i aşmıştır. Bu sonuç, alan odaklı ön eğitimin tek başına hedef etiket semantiğine uyum için yeterli olmadığını desteklemektedir. FinBERT finansal dili bilmekte; ancak hedef veri setinin karışık veya yönsüz metinleri neutral olarak ele alan karar sınırını aynı ölçüde bilmemektedir.</w:t>
      </w:r>
    </w:p>
    <w:p>
      <w:pPr>
        <w:spacing w:line="360" w:lineRule="auto" w:after="120"/>
        <w:ind w:firstLine="720"/>
        <w:jc w:val="both"/>
      </w:pPr>
      <w:r>
        <w:rPr>
          <w:rFonts w:ascii="Times New Roman" w:hAnsi="Times New Roman"/>
          <w:sz w:val="24"/>
        </w:rPr>
        <w:t>RoBERTa'nın üstünlüğü, optimize edilmiş ön eğitim prosedürü ve güçlü genel dil temsilinin veri setine özgü ince ayarla birleşmesine bağlanabilir. BERT ile RoBERTa arasındaki fark görece sınırlı olsa da tutarlı biçimde RoBERTa lehinedir. DistilBERT daha küçük yapısına rağmen FinBERT'i geçerek kaynak kısıtlı uygulamalar için uygulanabilir bir seçenek sunmaktadır.</w:t>
      </w:r>
    </w:p>
    <w:p>
      <w:pPr>
        <w:pStyle w:val="Heading2"/>
        <w:spacing w:before="240" w:after="120"/>
      </w:pPr>
      <w:r>
        <w:rPr>
          <w:rFonts w:ascii="Times New Roman" w:hAnsi="Times New Roman"/>
        </w:rPr>
        <w:t>5.2. Genelleme ve Alan Kayması</w:t>
      </w:r>
    </w:p>
    <w:p>
      <w:pPr>
        <w:spacing w:line="360" w:lineRule="auto" w:after="120"/>
        <w:ind w:firstLine="720"/>
        <w:jc w:val="both"/>
      </w:pPr>
      <w:r>
        <w:rPr>
          <w:rFonts w:ascii="Times New Roman" w:hAnsi="Times New Roman"/>
          <w:sz w:val="24"/>
        </w:rPr>
        <w:t>S&amp;P 500 sonuçlarında yalnızca RoBERTa'nın FinBERT'i geçmesi, ana veri setine uyum sağlamanın dış test üstünlüğünü garanti etmediğini göstermektedir. BERT ve DistilBERT iç testte yüksek sonuçlar elde etmiş ancak bağımsız başlıklarda FinBERT'in biraz gerisinde kalmıştır. RoBERTa'nın dış testte de ilk sırada yer alması, daha sağlam bir temsil öğrendiğine işaret etmektedir.</w:t>
      </w:r>
    </w:p>
    <w:p>
      <w:pPr>
        <w:spacing w:line="360" w:lineRule="auto" w:after="120"/>
        <w:ind w:firstLine="720"/>
        <w:jc w:val="both"/>
      </w:pPr>
      <w:r>
        <w:rPr>
          <w:rFonts w:ascii="Times New Roman" w:hAnsi="Times New Roman"/>
          <w:sz w:val="24"/>
        </w:rPr>
        <w:t>Reuters sonuçları ise daha güçlü bir alan kayması örneğidir. Profesyonel ve editoryal Reuters haberleri, FinBERT'in ön eğitim ve görev geçmişine daha yakın olabilir. FinBERT'in burada yeniden birinci olması, finans alanına özgü ön eğitimin uzak alan metinlerinde koruyucu bir etkisi olabileceğini düşündürmektedir. Bu sonuç çalışmanın en önemli bulgusudur: en iyi model veri setinden bağımsız bir özellik değil, model ile hedef dağılım arasındaki uyumun sonucudur.</w:t>
      </w:r>
    </w:p>
    <w:p>
      <w:pPr>
        <w:pStyle w:val="Heading2"/>
        <w:spacing w:before="240" w:after="120"/>
      </w:pPr>
      <w:r>
        <w:rPr>
          <w:rFonts w:ascii="Times New Roman" w:hAnsi="Times New Roman"/>
        </w:rPr>
        <w:t>5.3. Tarafsız Sınıf ve Etiket Uyuşmazlığı</w:t>
      </w:r>
    </w:p>
    <w:p>
      <w:pPr>
        <w:spacing w:line="360" w:lineRule="auto" w:after="120"/>
        <w:ind w:firstLine="720"/>
        <w:jc w:val="both"/>
      </w:pPr>
      <w:r>
        <w:rPr>
          <w:rFonts w:ascii="Times New Roman" w:hAnsi="Times New Roman"/>
          <w:sz w:val="24"/>
        </w:rPr>
        <w:t>FinBERT hata analizinde neutral örneklerin negative olarak tahmin edilmesi, tarafsız sınıfın homojen olmadığını göstermektedir. Bu sınıf; açık yön içermeyen bilgi, karışık olumlu-olumsuz gelişme, küçük değişim, beklentiye paralel sonuç ve hedef belirsizliği gibi farklı durumları bir araya getirmektedir. Modelin olumsuz sözcüklere verdiği ağırlık, veri setinin piyasa yönü odaklı karar kuralıyla çelişmektedir.</w:t>
      </w:r>
    </w:p>
    <w:p>
      <w:pPr>
        <w:spacing w:line="360" w:lineRule="auto" w:after="120"/>
        <w:ind w:firstLine="720"/>
        <w:jc w:val="both"/>
      </w:pPr>
      <w:r>
        <w:rPr>
          <w:rFonts w:ascii="Times New Roman" w:hAnsi="Times New Roman"/>
          <w:sz w:val="24"/>
        </w:rPr>
        <w:t>Bu nedenle hata analizi yalnızca model yanlışı olarak sunulmamalıdır. Bazı örneklerde iki etiket de farklı sentiment tanımları altında savunulabilir. Nihai tezde anotasyon yönergesinin açık biçimde verilmesi, belirsiz örneklerin ayrıca işaretlenmesi ve insan değerlendiriciler arası uyumun raporlanması önerilmektedir.</w:t>
      </w:r>
    </w:p>
    <w:p>
      <w:pPr>
        <w:pStyle w:val="Heading2"/>
        <w:spacing w:before="240" w:after="120"/>
      </w:pPr>
      <w:r>
        <w:rPr>
          <w:rFonts w:ascii="Times New Roman" w:hAnsi="Times New Roman"/>
        </w:rPr>
        <w:t>5.4. Sentetik Verinin Yorumu</w:t>
      </w:r>
    </w:p>
    <w:p>
      <w:pPr>
        <w:spacing w:line="360" w:lineRule="auto" w:after="120"/>
        <w:ind w:firstLine="720"/>
        <w:jc w:val="both"/>
      </w:pPr>
      <w:r>
        <w:rPr>
          <w:rFonts w:ascii="Times New Roman" w:hAnsi="Times New Roman"/>
          <w:sz w:val="24"/>
        </w:rPr>
        <w:t>Sentetik veri üzerindeki 0,95-0,996 aralığındaki makro F1 değerleri ilk bakışta modellerin problemi neredeyse çözdüğünü düşündürebilir. Ancak Reuters sonuçlarındaki belirgin düşüş, bu yorumun geçerli olmadığını göstermektedir. Sentetik örnekler genellikle tek yönlü ve açık sınıf ipuçları içerir; gerçek haberlerde ise örtük etkiler, karşılaştırmalar, zaman bağlamı ve birden fazla olay bulunur.</w:t>
      </w:r>
    </w:p>
    <w:p>
      <w:pPr>
        <w:spacing w:line="360" w:lineRule="auto" w:after="120"/>
        <w:ind w:firstLine="720"/>
        <w:jc w:val="both"/>
      </w:pPr>
      <w:r>
        <w:rPr>
          <w:rFonts w:ascii="Times New Roman" w:hAnsi="Times New Roman"/>
          <w:sz w:val="24"/>
        </w:rPr>
        <w:t>Sentetik veri eğitim ve stres testi amacıyla yararlı olmakla birlikte, ana başarı kanıtı olarak kullanılmamalıdır. Sentetik set sonuçları gerçek dış testlerle birlikte raporlanmalı ve veri üretim yöntemi ayrıntılı biçimde açıklanmalıdır.</w:t>
      </w:r>
    </w:p>
    <w:p>
      <w:pPr>
        <w:pStyle w:val="Heading2"/>
        <w:spacing w:before="240" w:after="120"/>
      </w:pPr>
      <w:r>
        <w:t>5.5. Tamamlayıcı/Keşifsel Sıfır Örnekli Bulguların Yorumu</w:t>
      </w:r>
    </w:p>
    <w:p>
      <w:pPr>
        <w:spacing w:line="360" w:lineRule="auto" w:after="120"/>
        <w:ind w:firstLine="720"/>
        <w:jc w:val="both"/>
      </w:pPr>
      <w:r>
        <w:t>Sıfır örnekli modellerin temel avantajı etiketli eğitim verisine ihtiyaç duymamalarıdır. Bu özellik, yeni bir veri kaynağı veya sınıf şeması için hızlı bir başlangıç ölçütü oluşturabilir. Ancak genel NLI modelleri finansal olayların ekonomik etkisini ve veri setine özgü tarafsızlık kararını öğrenmemiştir. Bu nedenle bu deneylerin sonuçları, ana denetimli model karşılaştırmasının bir parçası değil, etiketli veri bulunmayan koşullara ilişkin tamamlayıcı ve keşifsel bir bulgu olarak yorumlanmıştır.</w:t>
      </w:r>
    </w:p>
    <w:p>
      <w:pPr>
        <w:spacing w:line="360" w:lineRule="auto" w:after="120"/>
        <w:ind w:firstLine="720"/>
        <w:jc w:val="both"/>
      </w:pPr>
      <w:r>
        <w:t>Keşifsel deneylerde en iyi sıfır örnekli modelin dahi denetimli ince ayarlı modellerin gerisinde kalması, finansal duygu analizinde etiket tanımına uyumun önemini desteklemektedir. Gelecek çalışmalarda finansal açıklama içeren daha ayrıntılı hipotezler, çoklu şablon ortalaması ve az örnekli instruction-tuned modeller denenebilir.</w:t>
      </w:r>
    </w:p>
    <w:p>
      <w:pPr>
        <w:pStyle w:val="Heading2"/>
        <w:spacing w:before="240" w:after="120"/>
      </w:pPr>
      <w:r>
        <w:rPr>
          <w:rFonts w:ascii="Times New Roman" w:hAnsi="Times New Roman"/>
        </w:rPr>
        <w:t>5.6. Araştırma Sorularının Yanıtlanması</w:t>
      </w:r>
    </w:p>
    <w:tbl>
      <w:tblPr>
        <w:tblStyle w:val="TableGrid"/>
        <w:tblW w:type="auto" w:w="0"/>
        <w:jc w:val="center"/>
        <w:tblLook w:firstColumn="1" w:firstRow="1" w:lastColumn="0" w:lastRow="0" w:noHBand="0" w:noVBand="1" w:val="04A0"/>
      </w:tblPr>
      <w:tblGrid>
        <w:gridCol w:w="4419"/>
        <w:gridCol w:w="4419"/>
      </w:tblGrid>
      <w:tr>
        <w:trPr>
          <w:tblHeader w:val="true"/>
        </w:trPr>
        <w:tc>
          <w:tcPr>
            <w:tcW w:type="dxa" w:w="1417"/>
            <w:vAlign w:val="center"/>
            <w:shd w:fill="D9EAF7"/>
          </w:tcPr>
          <w:p>
            <w:pPr>
              <w:jc w:val="center"/>
            </w:pPr>
            <w:r>
              <w:rPr>
                <w:rFonts w:ascii="Times New Roman" w:hAnsi="Times New Roman"/>
                <w:b/>
                <w:sz w:val="18"/>
              </w:rPr>
            </w:r>
            <w:r>
              <w:rPr>
                <w:rFonts w:ascii="Times New Roman" w:hAnsi="Times New Roman"/>
                <w:b/>
                <w:sz w:val="18"/>
              </w:rPr>
              <w:t>Soru</w:t>
            </w:r>
          </w:p>
        </w:tc>
        <w:tc>
          <w:tcPr>
            <w:tcW w:type="dxa" w:w="7654"/>
            <w:vAlign w:val="center"/>
            <w:shd w:fill="D9EAF7"/>
          </w:tcPr>
          <w:p>
            <w:pPr>
              <w:jc w:val="center"/>
            </w:pPr>
            <w:r>
              <w:rPr>
                <w:rFonts w:ascii="Times New Roman" w:hAnsi="Times New Roman"/>
                <w:b/>
                <w:sz w:val="18"/>
              </w:rPr>
            </w:r>
            <w:r>
              <w:rPr>
                <w:rFonts w:ascii="Times New Roman" w:hAnsi="Times New Roman"/>
                <w:b/>
                <w:sz w:val="18"/>
              </w:rPr>
              <w:t>Sonuç</w:t>
            </w:r>
          </w:p>
        </w:tc>
      </w:tr>
      <w:tr>
        <w:tc>
          <w:tcPr>
            <w:tcW w:type="dxa" w:w="1417"/>
            <w:vAlign w:val="center"/>
          </w:tcPr>
          <w:p>
            <w:r>
              <w:t>AS1</w:t>
            </w:r>
          </w:p>
        </w:tc>
        <w:tc>
          <w:tcPr>
            <w:tcW w:type="dxa" w:w="7654"/>
            <w:vAlign w:val="center"/>
          </w:tcPr>
          <w:p>
            <w:r>
              <w:t>Evet. İç testte FinBERT 0,6794 makro F1 elde ederken DistilBERT 0,8218, BERT 0,8378 ve RoBERTa 0,8651 değerine ulaşmıştır.</w:t>
            </w:r>
          </w:p>
        </w:tc>
      </w:tr>
      <w:tr>
        <w:tc>
          <w:tcPr>
            <w:tcW w:type="dxa" w:w="1417"/>
            <w:vAlign w:val="center"/>
          </w:tcPr>
          <w:p>
            <w:r>
              <w:t>AS2</w:t>
            </w:r>
          </w:p>
        </w:tc>
        <w:tc>
          <w:tcPr>
            <w:tcW w:type="dxa" w:w="7654"/>
            <w:vAlign w:val="center"/>
          </w:tcPr>
          <w:p>
            <w:r>
              <w:t>RoBERTa 0,8651 makro F1 ile birinci, BERT 0,8378 ile ikinci, DistilBERT 0,8218 ile üçüncü olmuştur. RoBERTa ayrıca sınıf bazlı olarak en dengeli iç test profilini vermiştir.</w:t>
            </w:r>
          </w:p>
        </w:tc>
      </w:tr>
      <w:tr>
        <w:tc>
          <w:tcPr>
            <w:tcW w:type="dxa" w:w="1417"/>
            <w:vAlign w:val="center"/>
          </w:tcPr>
          <w:p>
            <w:r>
              <w:t>AS3</w:t>
            </w:r>
          </w:p>
        </w:tc>
        <w:tc>
          <w:tcPr>
            <w:tcW w:type="dxa" w:w="7654"/>
            <w:vAlign w:val="center"/>
          </w:tcPr>
          <w:p>
            <w:r>
              <w:t>Hayır. RoBERTa S&amp;P 500 testinde üstünlüğünü korurken Reuters testinde FinBERT 0,6866 makro F1 ile birinci olmuş, RoBERTa 0,6388’de kalmıştır.</w:t>
            </w:r>
          </w:p>
        </w:tc>
      </w:tr>
      <w:tr>
        <w:tc>
          <w:tcPr>
            <w:tcW w:type="dxa" w:w="1417"/>
            <w:vAlign w:val="center"/>
          </w:tcPr>
          <w:p>
            <w:r>
              <w:t>AS4</w:t>
            </w:r>
          </w:p>
        </w:tc>
        <w:tc>
          <w:tcPr>
            <w:tcW w:type="dxa" w:w="7654"/>
            <w:vAlign w:val="center"/>
          </w:tcPr>
          <w:p>
            <w:r>
              <w:t>Veri kaynağı ve etiketleme yaklaşımı model sıralamasını ve hata türlerini değiştirmiştir. S&amp;P 500’de tarafsızdan negatife hata oranı FinBERT için %10,62, RoBERTa için %5,60’tır; Reuters’ta ise hazır FinBERT yeniden en yüksek genel performansı elde etmiştir.</w:t>
            </w:r>
          </w:p>
        </w:tc>
      </w:tr>
      <w:tr>
        <w:tc>
          <w:tcPr>
            <w:tcW w:type="dxa" w:w="1417"/>
            <w:vAlign w:val="center"/>
          </w:tcPr>
          <w:p>
            <w:r>
              <w:t>AS5</w:t>
            </w:r>
          </w:p>
        </w:tc>
        <w:tc>
          <w:tcPr>
            <w:tcW w:type="dxa" w:w="7654"/>
            <w:vAlign w:val="center"/>
          </w:tcPr>
          <w:p>
            <w:r>
              <w:t>Sentetik sette makro F1 değerleri 0,9551-0,9957 aralığındayken Reuters’ta 0,5869-0,6866 aralığına düşmüştür. Dolayısıyla sentetik performans gerçek dünya genellemesini fazla iyimser göstermektedir.</w:t>
            </w:r>
          </w:p>
        </w:tc>
      </w:tr>
    </w:tbl>
    <w:p>
      <w:pPr>
        <w:spacing w:line="360" w:lineRule="auto" w:after="120"/>
        <w:jc w:val="both"/>
      </w:pPr>
    </w:p>
    <w:p>
      <w:pPr>
        <w:pStyle w:val="Heading2"/>
      </w:pPr>
      <w:r>
        <w:rPr>
          <w:rFonts w:ascii="Times New Roman" w:hAnsi="Times New Roman"/>
        </w:rPr>
        <w:t>5.7. Bulguların Literatürle Karşılaştırılması</w:t>
      </w:r>
    </w:p>
    <w:p>
      <w:pPr>
        <w:spacing w:line="360" w:lineRule="auto" w:after="120"/>
        <w:ind w:firstLine="720"/>
        <w:jc w:val="both"/>
      </w:pPr>
      <w:r>
        <w:rPr>
          <w:rFonts w:ascii="Times New Roman" w:hAnsi="Times New Roman"/>
          <w:sz w:val="24"/>
        </w:rPr>
        <w:t>Hazır FinBERT’in iç testte hedef veri setine özel ince ayarlı modellerin gerisinde kalması, finans alanına özgü ön eğitimin tek başına görev uyumunu garanti etmediğini göstermektedir. Araci (2019) ile Yang, Uy ve Huang (2020), finansal metinlerde alan odaklı ön eğitimin yararını ortaya koymuştur. Bu tezde Reuters sonuçları söz konusu bulgularla uyumludur; hazır FinBERT profesyonel finans haberlerinde en yüksek makro F1 değerine ulaşmıştır. Buna karşılık kısa, piyasa yönelimli ana veri setinde RoBERTa’nın üstünlüğü, hedef veri setine özgü ince ayarın bazı görevlerde alan ön eğitiminden daha belirleyici olabileceğine işaret etmektedir.</w:t>
      </w:r>
    </w:p>
    <w:p>
      <w:pPr>
        <w:spacing w:line="360" w:lineRule="auto" w:after="120"/>
        <w:ind w:firstLine="720"/>
        <w:jc w:val="both"/>
      </w:pPr>
      <w:r>
        <w:rPr>
          <w:rFonts w:ascii="Times New Roman" w:hAnsi="Times New Roman"/>
          <w:sz w:val="24"/>
        </w:rPr>
        <w:t>RoBERTa’nın iç test ve S&amp;P 500 dış testindeki başarısı, Liu ve diğerlerinin (2019) optimize edilmiş ön eğitim sürecinin güçlü aktarım performansı sağladığı yönündeki bulgularıyla tutarlıdır. DistilBERT’in daha düşük olmakla birlikte FinBERT’in iç test sonucunu aşması ise Sanh ve diğerlerinin (2019) daha küçük modellerin önemli ölçüde performans koruyabildiği sonucunu desteklemektedir. BERT ve FinBERT’in görevler arasında değişen sıralaması, Peng ve diğerlerinin (2021) alan uyarlamasının değerinin göreve ve veri dağılımına bağlı olduğu yönündeki değerlendirmesiyle örtüşmektedir.</w:t>
      </w:r>
    </w:p>
    <w:p>
      <w:pPr>
        <w:spacing w:line="360" w:lineRule="auto" w:after="120"/>
        <w:ind w:firstLine="720"/>
        <w:jc w:val="both"/>
      </w:pPr>
      <w:r>
        <w:rPr>
          <w:rFonts w:ascii="Times New Roman" w:hAnsi="Times New Roman"/>
          <w:sz w:val="24"/>
        </w:rPr>
        <w:t>Tarafsız sınıfın veri setleri arasında farklı anlamlar taşıması, Loughran ve McDonald’ın (2011) finansal söz varlığının genel duygu sözlüklerinden farklı yorumlanması gerektiği yönündeki temel argümanını genişletmektedir. Financial PhraseBank (Malo ve diğerleri, 2014) kurumsal haber cümlelerinin ekonomik etkisini merkeze alırken, bu çalışmanın ana veri seti kısa ve piyasa yönelimli metinleri içermektedir. Bu nedenle tarafsızdan negatife hataların yalnızca model yetersizliği değil, etiket semantiği ve veri kaynağı arasındaki uyumsuzlukla birlikte değerlendirilmesi gerekir. Varlık düzeyli duygu yaklaşımını öneren Tang ve diğerleri (2023) de tek bir cümle etiketinin hedefe bağlı farklı etkileri maskeleyebileceğini göstermektedir.</w:t>
      </w:r>
    </w:p>
    <w:p>
      <w:pPr>
        <w:pStyle w:val="Heading2"/>
      </w:pPr>
      <w:r>
        <w:rPr>
          <w:rFonts w:ascii="Times New Roman" w:hAnsi="Times New Roman"/>
        </w:rPr>
        <w:t>5.8. Hipotezlerin Değerlendirilmesi</w:t>
      </w:r>
    </w:p>
    <w:tbl>
      <w:tblPr>
        <w:tblStyle w:val="TableGrid"/>
        <w:tblW w:type="auto" w:w="0"/>
        <w:jc w:val="center"/>
        <w:tblLook w:firstColumn="1" w:firstRow="1" w:lastColumn="0" w:lastRow="0" w:noHBand="0" w:noVBand="1" w:val="04A0"/>
      </w:tblPr>
      <w:tblGrid>
        <w:gridCol w:w="2946"/>
        <w:gridCol w:w="2946"/>
        <w:gridCol w:w="2946"/>
      </w:tblGrid>
      <w:tr>
        <w:trPr>
          <w:tblHeader w:val="true"/>
        </w:trPr>
        <w:tc>
          <w:tcPr>
            <w:tcW w:type="dxa" w:w="2946"/>
            <w:vAlign w:val="center"/>
            <w:shd w:fill="D9EAF7"/>
          </w:tcPr>
          <w:p>
            <w:pPr>
              <w:jc w:val="center"/>
            </w:pPr>
            <w:r>
              <w:rPr>
                <w:rFonts w:ascii="Times New Roman" w:hAnsi="Times New Roman"/>
                <w:b/>
                <w:sz w:val="18"/>
              </w:rPr>
              <w:t>Hipotez</w:t>
            </w:r>
          </w:p>
        </w:tc>
        <w:tc>
          <w:tcPr>
            <w:tcW w:type="dxa" w:w="2946"/>
            <w:vAlign w:val="center"/>
            <w:shd w:fill="D9EAF7"/>
          </w:tcPr>
          <w:p>
            <w:pPr>
              <w:jc w:val="center"/>
            </w:pPr>
            <w:r>
              <w:rPr>
                <w:rFonts w:ascii="Times New Roman" w:hAnsi="Times New Roman"/>
                <w:b/>
                <w:sz w:val="18"/>
              </w:rPr>
              <w:t>Karar</w:t>
            </w:r>
          </w:p>
        </w:tc>
        <w:tc>
          <w:tcPr>
            <w:tcW w:type="dxa" w:w="2946"/>
            <w:vAlign w:val="center"/>
            <w:shd w:fill="D9EAF7"/>
          </w:tcPr>
          <w:p>
            <w:pPr>
              <w:jc w:val="center"/>
            </w:pPr>
            <w:r>
              <w:rPr>
                <w:rFonts w:ascii="Times New Roman" w:hAnsi="Times New Roman"/>
                <w:b/>
                <w:sz w:val="18"/>
              </w:rPr>
              <w:t>Gerekçe</w:t>
            </w:r>
          </w:p>
        </w:tc>
      </w:tr>
      <w:tr>
        <w:tc>
          <w:tcPr>
            <w:tcW w:type="dxa" w:w="2946"/>
            <w:vAlign w:val="center"/>
          </w:tcPr>
          <w:p>
            <w:r>
              <w:t>H1</w:t>
            </w:r>
          </w:p>
        </w:tc>
        <w:tc>
          <w:tcPr>
            <w:tcW w:type="dxa" w:w="2946"/>
            <w:vAlign w:val="center"/>
          </w:tcPr>
          <w:p>
            <w:r>
              <w:t>Desteklendi</w:t>
            </w:r>
          </w:p>
        </w:tc>
        <w:tc>
          <w:tcPr>
            <w:tcW w:type="dxa" w:w="2946"/>
            <w:vAlign w:val="center"/>
          </w:tcPr>
          <w:p>
            <w:r>
              <w:t>Üç ince ayarlı model de iç testte FinBERT’in 0,6794 makro F1 değerini aşmıştır.</w:t>
            </w:r>
          </w:p>
        </w:tc>
      </w:tr>
      <w:tr>
        <w:tc>
          <w:tcPr>
            <w:tcW w:type="dxa" w:w="2946"/>
            <w:vAlign w:val="center"/>
          </w:tcPr>
          <w:p>
            <w:r>
              <w:t>H2</w:t>
            </w:r>
          </w:p>
        </w:tc>
        <w:tc>
          <w:tcPr>
            <w:tcW w:type="dxa" w:w="2946"/>
            <w:vAlign w:val="center"/>
          </w:tcPr>
          <w:p>
            <w:r>
              <w:t>Desteklendi</w:t>
            </w:r>
          </w:p>
        </w:tc>
        <w:tc>
          <w:tcPr>
            <w:tcW w:type="dxa" w:w="2946"/>
            <w:vAlign w:val="center"/>
          </w:tcPr>
          <w:p>
            <w:r>
              <w:t>RoBERTa iç testte 0,8651 makro F1 ile BERT ve DistilBERT’in önünde yer almıştır.</w:t>
            </w:r>
          </w:p>
        </w:tc>
      </w:tr>
      <w:tr>
        <w:tc>
          <w:tcPr>
            <w:tcW w:type="dxa" w:w="2946"/>
            <w:vAlign w:val="center"/>
          </w:tcPr>
          <w:p>
            <w:r>
              <w:t>H3</w:t>
            </w:r>
          </w:p>
        </w:tc>
        <w:tc>
          <w:tcPr>
            <w:tcW w:type="dxa" w:w="2946"/>
            <w:vAlign w:val="center"/>
          </w:tcPr>
          <w:p>
            <w:r>
              <w:t>Desteklendi</w:t>
            </w:r>
          </w:p>
        </w:tc>
        <w:tc>
          <w:tcPr>
            <w:tcW w:type="dxa" w:w="2946"/>
            <w:vAlign w:val="center"/>
          </w:tcPr>
          <w:p>
            <w:r>
              <w:t>İç testteki model sıralaması Reuters dış testinde değişmiş ve FinBERT birinci olmuştur.</w:t>
            </w:r>
          </w:p>
        </w:tc>
      </w:tr>
      <w:tr>
        <w:tc>
          <w:tcPr>
            <w:tcW w:type="dxa" w:w="2946"/>
            <w:vAlign w:val="center"/>
          </w:tcPr>
          <w:p>
            <w:r>
              <w:t>H4</w:t>
            </w:r>
          </w:p>
        </w:tc>
        <w:tc>
          <w:tcPr>
            <w:tcW w:type="dxa" w:w="2946"/>
            <w:vAlign w:val="center"/>
          </w:tcPr>
          <w:p>
            <w:r>
              <w:t>Desteklendi</w:t>
            </w:r>
          </w:p>
        </w:tc>
        <w:tc>
          <w:tcPr>
            <w:tcW w:type="dxa" w:w="2946"/>
            <w:vAlign w:val="center"/>
          </w:tcPr>
          <w:p>
            <w:r>
              <w:t>Tarafsız sınıfta veri seti ve modele bağlı belirgin hata yoğunlukları gözlenmiş; özellikle tarafsızdan negatife geçişler hata analizinde öne çıkmıştır.</w:t>
            </w:r>
          </w:p>
        </w:tc>
      </w:tr>
      <w:tr>
        <w:tc>
          <w:tcPr>
            <w:tcW w:type="dxa" w:w="2946"/>
            <w:vAlign w:val="center"/>
          </w:tcPr>
          <w:p>
            <w:r>
              <w:t>H5</w:t>
            </w:r>
          </w:p>
        </w:tc>
        <w:tc>
          <w:tcPr>
            <w:tcW w:type="dxa" w:w="2946"/>
            <w:vAlign w:val="center"/>
          </w:tcPr>
          <w:p>
            <w:r>
              <w:t>Desteklendi</w:t>
            </w:r>
          </w:p>
        </w:tc>
        <w:tc>
          <w:tcPr>
            <w:tcW w:type="dxa" w:w="2946"/>
            <w:vAlign w:val="center"/>
          </w:tcPr>
          <w:p>
            <w:r>
              <w:t>Sentetik veri setinde 0,9551-0,9957 aralığında olan makro F1 değerleri, Reuters gerçek haber testinde 0,5869-0,6866 aralığına düşmüştür.</w:t>
            </w:r>
          </w:p>
        </w:tc>
      </w:tr>
    </w:tbl>
    <w:p>
      <w:pPr>
        <w:pStyle w:val="Heading1"/>
        <w:spacing w:before="240" w:after="120"/>
      </w:pPr>
      <w:r>
        <w:rPr>
          <w:rFonts w:ascii="Times New Roman" w:hAnsi="Times New Roman"/>
        </w:rPr>
        <w:t>6. SONUÇ VE ÖNERİLER</w:t>
      </w:r>
    </w:p>
    <w:p>
      <w:pPr>
        <w:pStyle w:val="Heading2"/>
        <w:spacing w:before="240" w:after="120"/>
      </w:pPr>
      <w:r>
        <w:rPr>
          <w:rFonts w:ascii="Times New Roman" w:hAnsi="Times New Roman"/>
        </w:rPr>
        <w:t>6.1. Genel Sonuç</w:t>
      </w:r>
    </w:p>
    <w:p>
      <w:pPr>
        <w:spacing w:line="360" w:lineRule="auto" w:after="120"/>
        <w:ind w:firstLine="720"/>
        <w:jc w:val="both"/>
      </w:pPr>
      <w:r>
        <w:t>Bu tez, finansal duygu analizinde alan odaklı ön eğitim ile hedef veri setine özgü ince ayarın farklı test alanlarındaki etkisini karşılaştırmıştır. Hedef veri setine özgü ince ayar, kısa ve piyasa yönelimli finansal metinlerde genel amaçlı Transformer modellerinin hazır FinBERT’i geçmesini sağlamıştır. Bununla birlikte Reuters gibi farklı dilsel ve editoryal özelliklere sahip dış test verilerinde FinBERT’in yeniden üstünlük göstermesi, finansal duygu analizi performansının yalnızca model mimarisiyle açıklanamayacağını; veri kaynağı, etiket semantiği ve alan kaymasından önemli ölçüde etkilendiğini ortaya koymuştur. Sıfır örnekli NLI modelleriyle yürütülen tamamlayıcı/keşifsel analiz ise etiketli veri kullanılmadığında bir başlangıç ölçütü sağlasa da özellikle tarafsız sınıfta denetimli modellerin belirgin biçimde gerisinde kalmıştır.</w:t>
      </w:r>
    </w:p>
    <w:p>
      <w:pPr>
        <w:spacing w:line="360" w:lineRule="auto" w:after="120"/>
        <w:ind w:firstLine="720"/>
        <w:jc w:val="both"/>
      </w:pPr>
      <w:r>
        <w:rPr>
          <w:rFonts w:ascii="Times New Roman" w:hAnsi="Times New Roman"/>
          <w:sz w:val="24"/>
        </w:rPr>
        <w:t>Çalışmanın ana sonucu, finansal duygu analizinde tek bir modelin evrensel olarak en iyi kabul edilemeyeceğidir. Model seçimi; hedef metin türü, etiket politikası, veri kaynağı ve uygulama maliyetiyle birlikte yapılmalıdır. İç test başarısı tek başına üretim ortamı için yeterli kanıt değildir; bağımsız ve mümkünse birden fazla dış test gereklidir.</w:t>
      </w:r>
    </w:p>
    <w:p>
      <w:pPr>
        <w:pStyle w:val="Heading2"/>
        <w:spacing w:before="240" w:after="120"/>
      </w:pPr>
      <w:r>
        <w:rPr>
          <w:rFonts w:ascii="Times New Roman" w:hAnsi="Times New Roman"/>
        </w:rPr>
        <w:t>6.2. Uygulayıcılara Öneriler</w:t>
      </w:r>
    </w:p>
    <w:p>
      <w:pPr>
        <w:pStyle w:val="ListBullet"/>
        <w:spacing w:line="312" w:lineRule="auto"/>
        <w:jc w:val="both"/>
      </w:pPr>
      <w:r>
        <w:rPr>
          <w:rFonts w:ascii="Times New Roman" w:hAnsi="Times New Roman"/>
        </w:rPr>
        <w:t>Kısa piyasa başlıkları ve hedef veri setine benzeyen içeriklerde RoBERTa ince ayarı öncelikli aday olarak değerlendirilmelidir.</w:t>
      </w:r>
    </w:p>
    <w:p>
      <w:pPr>
        <w:pStyle w:val="ListBullet"/>
        <w:spacing w:line="312" w:lineRule="auto"/>
        <w:jc w:val="both"/>
      </w:pPr>
      <w:r>
        <w:rPr>
          <w:rFonts w:ascii="Times New Roman" w:hAnsi="Times New Roman"/>
        </w:rPr>
        <w:t>Profesyonel finans haberlerinde FinBERT mutlaka ayrı bir temel model olarak test edilmelidir.</w:t>
      </w:r>
    </w:p>
    <w:p>
      <w:pPr>
        <w:pStyle w:val="ListBullet"/>
        <w:spacing w:line="312" w:lineRule="auto"/>
        <w:jc w:val="both"/>
      </w:pPr>
      <w:r>
        <w:rPr>
          <w:rFonts w:ascii="Times New Roman" w:hAnsi="Times New Roman"/>
        </w:rPr>
        <w:t>Sınıf dengesizliği bulunan veri setlerinde model seçimi yalnızca doğrulukla yapılmamalı; makro F1 ve sınıf bazlı ölçütler raporlanmalıdır.</w:t>
      </w:r>
    </w:p>
    <w:p>
      <w:pPr>
        <w:pStyle w:val="ListBullet"/>
        <w:spacing w:line="312" w:lineRule="auto"/>
        <w:jc w:val="both"/>
      </w:pPr>
      <w:r>
        <w:rPr>
          <w:rFonts w:ascii="Times New Roman" w:hAnsi="Times New Roman"/>
        </w:rPr>
        <w:t>Üretim öncesinde zaman, kaynak ve sektör bazlı dış testler uygulanmalıdır.</w:t>
      </w:r>
    </w:p>
    <w:p>
      <w:pPr>
        <w:pStyle w:val="ListBullet"/>
        <w:spacing w:line="312" w:lineRule="auto"/>
        <w:jc w:val="both"/>
      </w:pPr>
      <w:r>
        <w:rPr>
          <w:rFonts w:ascii="Times New Roman" w:hAnsi="Times New Roman"/>
        </w:rPr>
        <w:t>Tarafsız sınıf için açık anotasyon yönergeleri ve belirsiz/mixed kategorisi değerlendirilmelidir.</w:t>
      </w:r>
    </w:p>
    <w:p>
      <w:pPr>
        <w:pStyle w:val="Heading2"/>
        <w:spacing w:before="240" w:after="120"/>
      </w:pPr>
      <w:r>
        <w:rPr>
          <w:rFonts w:ascii="Times New Roman" w:hAnsi="Times New Roman"/>
        </w:rPr>
        <w:t>6.3. Gelecek Çalışmalar</w:t>
      </w:r>
    </w:p>
    <w:p>
      <w:pPr>
        <w:pStyle w:val="ListBullet"/>
        <w:spacing w:line="312" w:lineRule="auto"/>
        <w:jc w:val="both"/>
      </w:pPr>
      <w:r>
        <w:rPr>
          <w:rFonts w:ascii="Times New Roman" w:hAnsi="Times New Roman"/>
        </w:rPr>
        <w:t>NOSIBLE veya SENTiVENT gibi yeni bağımsız test setlerinin eklenmesi.</w:t>
      </w:r>
    </w:p>
    <w:p>
      <w:pPr>
        <w:pStyle w:val="ListBullet"/>
        <w:spacing w:line="312" w:lineRule="auto"/>
        <w:jc w:val="both"/>
      </w:pPr>
      <w:r>
        <w:rPr>
          <w:rFonts w:ascii="Times New Roman" w:hAnsi="Times New Roman"/>
        </w:rPr>
        <w:t>Varlık ve olay düzeyli finansal duygu analizine geçilmesi.</w:t>
      </w:r>
    </w:p>
    <w:p>
      <w:pPr>
        <w:pStyle w:val="ListBullet"/>
        <w:spacing w:line="312" w:lineRule="auto"/>
        <w:jc w:val="both"/>
      </w:pPr>
      <w:r>
        <w:rPr>
          <w:rFonts w:ascii="Times New Roman" w:hAnsi="Times New Roman"/>
        </w:rPr>
        <w:t>Çok dilli ve özellikle Türkçe finansal haber veri setlerinin oluşturulması.</w:t>
      </w:r>
    </w:p>
    <w:p>
      <w:pPr>
        <w:pStyle w:val="ListBullet"/>
        <w:spacing w:line="312" w:lineRule="auto"/>
        <w:jc w:val="both"/>
      </w:pPr>
      <w:r>
        <w:rPr>
          <w:rFonts w:ascii="Times New Roman" w:hAnsi="Times New Roman"/>
        </w:rPr>
        <w:t>LLM, instruction tuning ve az örnekli yöntemlerle karşılaştırma yapılması.</w:t>
      </w:r>
    </w:p>
    <w:p>
      <w:pPr>
        <w:pStyle w:val="ListBullet"/>
        <w:spacing w:line="312" w:lineRule="auto"/>
        <w:jc w:val="both"/>
      </w:pPr>
      <w:r>
        <w:rPr>
          <w:rFonts w:ascii="Times New Roman" w:hAnsi="Times New Roman"/>
        </w:rPr>
        <w:t>Haber duygu tahminlerinin hisse fiyatı ve volatilite hareketleriyle ilişkilendirilmesi.</w:t>
      </w:r>
    </w:p>
    <w:p>
      <w:pPr>
        <w:pStyle w:val="ListBullet"/>
        <w:spacing w:line="312" w:lineRule="auto"/>
        <w:jc w:val="both"/>
      </w:pPr>
      <w:r>
        <w:rPr>
          <w:rFonts w:ascii="Times New Roman" w:hAnsi="Times New Roman"/>
        </w:rPr>
        <w:t>Birden fazla rastgele tohum, güven aralığı ve istatistiksel anlamlılık testlerinin uygulanması.</w:t>
      </w:r>
    </w:p>
    <w:p>
      <w:pPr>
        <w:pStyle w:val="ListBullet"/>
        <w:spacing w:line="312" w:lineRule="auto"/>
        <w:jc w:val="both"/>
      </w:pPr>
      <w:r>
        <w:rPr>
          <w:rFonts w:ascii="Times New Roman" w:hAnsi="Times New Roman"/>
        </w:rPr>
        <w:t>Model boyutu, enerji tüketimi, eğitim süresi ve çıkarım gecikmesinin birlikte değerlendirilmesi.</w:t>
      </w:r>
    </w:p>
    <w:p>
      <w:pPr>
        <w:pStyle w:val="Heading1"/>
        <w:spacing w:before="240" w:after="120"/>
      </w:pPr>
      <w:r>
        <w:rPr>
          <w:rFonts w:ascii="Times New Roman" w:hAnsi="Times New Roman"/>
        </w:rPr>
        <w:t>KAYNAKÇA</w:t>
      </w:r>
    </w:p>
    <w:p>
      <w:pPr>
        <w:spacing w:after="120" w:line="360" w:lineRule="auto"/>
        <w:ind w:left="709" w:firstLine="720"/>
        <w:jc w:val="both"/>
      </w:pPr>
      <w:r>
        <w:rPr>
          <w:rFonts w:ascii="Times New Roman" w:hAnsi="Times New Roman"/>
          <w:sz w:val="24"/>
        </w:rPr>
        <w:t>Araci, D. (2019). FinBERT: Financial sentiment analysis with pre-trained language models. arXiv:1908.10063.</w:t>
      </w:r>
    </w:p>
    <w:p>
      <w:pPr>
        <w:spacing w:after="120" w:line="360" w:lineRule="auto"/>
        <w:ind w:left="709" w:firstLine="720"/>
        <w:jc w:val="both"/>
      </w:pPr>
      <w:r>
        <w:rPr>
          <w:rFonts w:ascii="Times New Roman" w:hAnsi="Times New Roman"/>
          <w:sz w:val="24"/>
        </w:rPr>
        <w:t>Balakrishnan, S., Fang, Y., &amp; Zhu, X. (2022). Exploring robustness of prefix tuning in noisy data: A case study in financial sentiment analysis. Proceedings of FinNLP 2022.</w:t>
      </w:r>
    </w:p>
    <w:p>
      <w:pPr>
        <w:spacing w:after="120" w:line="360" w:lineRule="auto"/>
        <w:ind w:left="709" w:firstLine="720"/>
        <w:jc w:val="both"/>
      </w:pPr>
      <w:r>
        <w:rPr>
          <w:rFonts w:ascii="Times New Roman" w:hAnsi="Times New Roman"/>
          <w:sz w:val="24"/>
        </w:rPr>
        <w:t>Devlin, J., Chang, M.-W., Lee, K., &amp; Toutanova, K. (2019). BERT: Pre-training of deep bidirectional transformers for language understanding. Proceedings of NAACL-HLT, 4171–4186.</w:t>
      </w:r>
    </w:p>
    <w:p>
      <w:pPr>
        <w:spacing w:after="120" w:line="360" w:lineRule="auto"/>
        <w:ind w:left="709" w:firstLine="720"/>
        <w:jc w:val="both"/>
      </w:pPr>
      <w:r>
        <w:rPr>
          <w:rFonts w:ascii="Times New Roman" w:hAnsi="Times New Roman"/>
          <w:sz w:val="24"/>
        </w:rPr>
        <w:t>Dong, Z., Fan, X., &amp; Peng, Z. (2024). FNSPID: A comprehensive financial news dataset in time series. arXiv:2402.06698.</w:t>
      </w:r>
    </w:p>
    <w:p>
      <w:pPr>
        <w:spacing w:after="120" w:line="360" w:lineRule="auto"/>
        <w:ind w:left="709" w:firstLine="720"/>
        <w:jc w:val="both"/>
      </w:pPr>
      <w:r>
        <w:rPr>
          <w:rFonts w:ascii="Times New Roman" w:hAnsi="Times New Roman"/>
          <w:sz w:val="24"/>
        </w:rPr>
        <w:t>Kirtac, K., &amp; Germano, G. (2024). Enhanced financial sentiment analysis and trading strategy development using large language models. Proceedings of WASSA 2024.</w:t>
      </w:r>
    </w:p>
    <w:p>
      <w:pPr>
        <w:spacing w:after="120" w:line="360" w:lineRule="auto"/>
        <w:ind w:left="709" w:firstLine="720"/>
        <w:jc w:val="both"/>
      </w:pPr>
      <w:r>
        <w:rPr>
          <w:rFonts w:ascii="Times New Roman" w:hAnsi="Times New Roman"/>
          <w:sz w:val="24"/>
        </w:rPr>
        <w:t>Liu, Y., Ott, M., Goyal, N., Du, J., Joshi, M., Chen, D., Levy, O., Lewis, M., Zettlemoyer, L., &amp; Stoyanov, V. (2019). RoBERTa: A robustly optimized BERT pretraining approach. arXiv:1907.11692.</w:t>
      </w:r>
    </w:p>
    <w:p>
      <w:pPr>
        <w:spacing w:after="120" w:line="360" w:lineRule="auto"/>
        <w:ind w:left="709" w:firstLine="720"/>
        <w:jc w:val="both"/>
      </w:pPr>
      <w:r>
        <w:rPr>
          <w:rFonts w:ascii="Times New Roman" w:hAnsi="Times New Roman"/>
          <w:sz w:val="24"/>
        </w:rPr>
        <w:t>Loughran, T., &amp; McDonald, B. (2011). When is a liability not a liability? Textual analysis, dictionaries, and 10-Ks. The Journal of Finance, 66(1), 35–65.</w:t>
      </w:r>
    </w:p>
    <w:p>
      <w:pPr>
        <w:spacing w:after="120" w:line="360" w:lineRule="auto"/>
        <w:ind w:left="709" w:firstLine="720"/>
        <w:jc w:val="both"/>
      </w:pPr>
      <w:r>
        <w:rPr>
          <w:rFonts w:ascii="Times New Roman" w:hAnsi="Times New Roman"/>
          <w:sz w:val="24"/>
        </w:rPr>
        <w:t>Malo, P., Sinha, A., Korhonen, P., Wallenius, J., &amp; Takala, P. (2014). Good debt or bad debt: Detecting semantic orientations in economic texts. Journal of the Association for Information Science and Technology, 65(4), 782–796.</w:t>
      </w:r>
    </w:p>
    <w:p>
      <w:pPr>
        <w:spacing w:after="120" w:line="360" w:lineRule="auto"/>
        <w:ind w:left="709" w:firstLine="720"/>
        <w:jc w:val="both"/>
      </w:pPr>
      <w:r>
        <w:rPr>
          <w:rFonts w:ascii="Times New Roman" w:hAnsi="Times New Roman"/>
          <w:sz w:val="24"/>
        </w:rPr>
        <w:t>Peng, B., Chersoni, E., Hsu, Y.-Y., &amp; Huang, C.-R. (2021). Is domain adaptation worth your investment? Comparing BERT and FinBERT on financial tasks. Proceedings of the First Workshop on Economics and Natural Language Processing.</w:t>
      </w:r>
    </w:p>
    <w:p>
      <w:pPr>
        <w:spacing w:after="120" w:line="360" w:lineRule="auto"/>
        <w:ind w:left="709" w:firstLine="720"/>
        <w:jc w:val="both"/>
      </w:pPr>
      <w:r>
        <w:rPr>
          <w:rFonts w:ascii="Times New Roman" w:hAnsi="Times New Roman"/>
          <w:sz w:val="24"/>
        </w:rPr>
        <w:t>Sanh, V., Debut, L., Chaumond, J., &amp; Wolf, T. (2019). DistilBERT, a distilled version of BERT: Smaller, faster, cheaper and lighter. arXiv:1910.01108.</w:t>
      </w:r>
    </w:p>
    <w:p>
      <w:pPr>
        <w:spacing w:after="120" w:line="360" w:lineRule="auto"/>
        <w:ind w:left="709" w:firstLine="720"/>
        <w:jc w:val="both"/>
      </w:pPr>
      <w:r>
        <w:rPr>
          <w:rFonts w:ascii="Times New Roman" w:hAnsi="Times New Roman"/>
          <w:sz w:val="24"/>
        </w:rPr>
        <w:t>Takala, P., Malo, P., Sinha, A., &amp; Ahlgren, O. (2014). Gold-standard for topic-specific sentiment analysis of economic texts. Proceedings of LREC 2014.</w:t>
      </w:r>
    </w:p>
    <w:p>
      <w:pPr>
        <w:spacing w:after="120" w:line="360" w:lineRule="auto"/>
        <w:ind w:left="709" w:firstLine="720"/>
        <w:jc w:val="both"/>
      </w:pPr>
      <w:r>
        <w:rPr>
          <w:rFonts w:ascii="Times New Roman" w:hAnsi="Times New Roman"/>
          <w:sz w:val="24"/>
        </w:rPr>
        <w:t>Tang, Y., Yang, Y., Huang, A., Tam, A., &amp; Tang, J. (2023). FinEntity: Entity-level sentiment classification for financial texts. Proceedings of EMNLP 2023.</w:t>
      </w:r>
    </w:p>
    <w:p>
      <w:pPr>
        <w:spacing w:after="120" w:line="360" w:lineRule="auto"/>
        <w:ind w:left="709" w:firstLine="720"/>
        <w:jc w:val="both"/>
      </w:pPr>
      <w:r>
        <w:rPr>
          <w:rFonts w:ascii="Times New Roman" w:hAnsi="Times New Roman"/>
          <w:sz w:val="24"/>
        </w:rPr>
        <w:t>Yang, Y., Uy, M. C. S., &amp; Huang, A. (2020). FinBERT: A pretrained language model for financial communications. arXiv:2006.08097.</w:t>
      </w:r>
    </w:p>
    <w:p>
      <w:pPr>
        <w:pStyle w:val="Heading1"/>
        <w:spacing w:before="240" w:after="120"/>
      </w:pPr>
      <w:r>
        <w:rPr>
          <w:rFonts w:ascii="Times New Roman" w:hAnsi="Times New Roman"/>
        </w:rPr>
        <w:t>EK A. NİHAİ TESLİM ÖNCESİ TAMAMLANACAK BİLGİLER</w:t>
      </w:r>
    </w:p>
    <w:p>
      <w:pPr>
        <w:pStyle w:val="ListBullet"/>
        <w:spacing w:line="312" w:lineRule="auto"/>
        <w:jc w:val="both"/>
      </w:pPr>
      <w:r>
        <w:rPr>
          <w:rFonts w:ascii="Times New Roman" w:hAnsi="Times New Roman"/>
        </w:rPr>
        <w:t>Kapak sayfasındaki üniversite, enstitü, anabilim dalı, öğrenci ve danışman bilgileri.</w:t>
      </w:r>
    </w:p>
    <w:p>
      <w:pPr>
        <w:pStyle w:val="ListBullet"/>
        <w:spacing w:line="312" w:lineRule="auto"/>
        <w:jc w:val="both"/>
      </w:pPr>
      <w:r>
        <w:rPr>
          <w:rFonts w:ascii="Times New Roman" w:hAnsi="Times New Roman"/>
        </w:rPr>
        <w:t>Üniversitenin tez yazım kılavuzuna göre kenar boşlukları, kapak ve ön sayfalar.</w:t>
      </w:r>
    </w:p>
    <w:p>
      <w:pPr>
        <w:pStyle w:val="ListBullet"/>
        <w:spacing w:line="312" w:lineRule="auto"/>
        <w:jc w:val="both"/>
      </w:pPr>
      <w:r>
        <w:t>Sıfır örnekli deneyler, ana araştırma sorularından bağımsız tamamlayıcı/keşifsel analiz olarak raporlanmış; nihai doğruluk, makro F1 ve sınıf bazlı sonuçları Ek C’de sunulmuştur.</w:t>
      </w:r>
    </w:p>
    <w:p>
      <w:pPr>
        <w:pStyle w:val="ListBullet"/>
        <w:spacing w:line="312" w:lineRule="auto"/>
        <w:jc w:val="both"/>
      </w:pPr>
      <w:r>
        <w:rPr>
          <w:rFonts w:ascii="Times New Roman" w:hAnsi="Times New Roman"/>
        </w:rPr>
        <w:t>S&amp;P 500 BERT ve DistilBERT doğruluk/Weighted-F1 hücrelerinin çıktı CSV’sinden tamamlanması.</w:t>
      </w:r>
    </w:p>
    <w:p>
      <w:pPr>
        <w:pStyle w:val="ListBullet"/>
        <w:spacing w:line="312" w:lineRule="auto"/>
        <w:jc w:val="both"/>
      </w:pPr>
      <w:r>
        <w:rPr>
          <w:rFonts w:ascii="Times New Roman" w:hAnsi="Times New Roman"/>
        </w:rPr>
        <w:t>Eğitim donanımı, maksimum dizi uzunluğu, random seed, optimizer ve weight decay ayrıntıları.</w:t>
      </w:r>
    </w:p>
    <w:p>
      <w:pPr>
        <w:pStyle w:val="ListBullet"/>
        <w:spacing w:line="312" w:lineRule="auto"/>
        <w:jc w:val="both"/>
      </w:pPr>
      <w:r>
        <w:rPr>
          <w:rFonts w:ascii="Times New Roman" w:hAnsi="Times New Roman"/>
        </w:rPr>
        <w:t>Anotatör sayısı, anotasyon yönergesi ve değerlendiriciler arası uyum ölçütü.</w:t>
      </w:r>
    </w:p>
    <w:p>
      <w:pPr>
        <w:pStyle w:val="ListBullet"/>
        <w:spacing w:line="312" w:lineRule="auto"/>
        <w:jc w:val="both"/>
      </w:pPr>
      <w:r>
        <w:rPr>
          <w:rFonts w:ascii="Times New Roman" w:hAnsi="Times New Roman"/>
        </w:rPr>
        <w:t>Kaynakların DOI, cilt, sayı ve sayfa bilgilerinin üniversitenin istediği kaynakça stiline göre doğrulanması.</w:t>
      </w:r>
    </w:p>
    <w:p>
      <w:pPr>
        <w:pStyle w:val="Heading1"/>
        <w:spacing w:before="240" w:after="120"/>
      </w:pPr>
      <w:r>
        <w:rPr>
          <w:rFonts w:ascii="Times New Roman" w:hAnsi="Times New Roman"/>
        </w:rPr>
        <w:t>EK B. DENEY DOSYALARI</w:t>
      </w:r>
    </w:p>
    <w:p>
      <w:pPr>
        <w:spacing w:line="360" w:lineRule="auto" w:after="120"/>
        <w:ind w:firstLine="720"/>
        <w:jc w:val="both"/>
      </w:pPr>
      <w:r>
        <w:rPr>
          <w:rFonts w:ascii="Times New Roman" w:hAnsi="Times New Roman"/>
          <w:sz w:val="24"/>
        </w:rPr>
        <w:t>Tezde kullanılan deneyler 00_setup_requirements.ipynb ile 09_search_new_dataset.ipynb arasındaki Jupyter Notebook dosyalarında yürütülmüştür. Notebooklar veri hazırlama, temel model değerlendirmesi, sıfır örnekli test, ince ayar ve bağımsız dış test aşamalarını ayrı ayrı belgelemektedir.</w:t>
      </w:r>
    </w:p>
    <w:p>
      <w:pPr>
        <w:pStyle w:val="Heading1"/>
      </w:pPr>
      <w:r>
        <w:rPr>
          <w:rFonts w:ascii="Times New Roman" w:hAnsi="Times New Roman"/>
        </w:rPr>
        <w:t>EK C. DENEY AYRINTILARI, TOPLU SONUÇLAR VE HATA ANALİZİ</w:t>
      </w:r>
    </w:p>
    <w:p>
      <w:pPr>
        <w:spacing w:line="360" w:lineRule="auto" w:after="120"/>
        <w:ind w:firstLine="720"/>
        <w:jc w:val="both"/>
      </w:pPr>
      <w:r>
        <w:rPr>
          <w:rFonts w:ascii="Times New Roman" w:hAnsi="Times New Roman"/>
          <w:sz w:val="24"/>
        </w:rPr>
        <w:t>Bu ek, tez danışmanlığı değerlendirmesinde istenen deney ayrıntılarını mevcut proje dosyalarından çıkarılabildiği ölçüde tek yerde toplar. Sayısal değerler proje klasöründeki split, checkpoint, notebook çıktısı ve prediction CSV dosyalarından alınmıştır; kaydı bulunmayan bilgiler açık sınırlılık olarak belirtilmiştir.</w:t>
      </w:r>
    </w:p>
    <w:p>
      <w:pPr>
        <w:pStyle w:val="Heading2"/>
      </w:pPr>
      <w:r>
        <w:rPr>
          <w:rFonts w:ascii="Times New Roman" w:hAnsi="Times New Roman"/>
        </w:rPr>
        <w:t>C.1. Deney ve Ortam Ayrıntıları</w:t>
      </w:r>
    </w:p>
    <w:tbl>
      <w:tblPr>
        <w:tblStyle w:val="TableGrid"/>
        <w:tblW w:w="9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00"/>
        <w:gridCol w:w="6900"/>
      </w:tblGrid>
      <w:tr>
        <w:trPr>
          <w:tblHeader w:val="true"/>
        </w:trPr>
        <w:tc>
          <w:tcPr>
            <w:tcW w:w="2200" w:type="dxa"/>
            <w:shd w:fill="D9EAF7"/>
            <w:vAlign w:val="center"/>
          </w:tcPr>
          <w:p>
            <w:pPr>
              <w:jc w:val="center"/>
            </w:pPr>
            <w:r>
              <w:rPr>
                <w:sz w:val="18"/>
                <w:rFonts w:ascii="Times New Roman" w:hAnsi="Times New Roman"/>
                <w:b/>
              </w:rPr>
              <w:t>Başlık</w:t>
            </w:r>
          </w:p>
        </w:tc>
        <w:tc>
          <w:tcPr>
            <w:tcW w:w="6900" w:type="dxa"/>
            <w:shd w:fill="D9EAF7"/>
            <w:vAlign w:val="center"/>
          </w:tcPr>
          <w:p>
            <w:pPr>
              <w:jc w:val="center"/>
            </w:pPr>
            <w:r>
              <w:rPr>
                <w:sz w:val="18"/>
                <w:rFonts w:ascii="Times New Roman" w:hAnsi="Times New Roman"/>
                <w:b/>
              </w:rPr>
              <w:t>Ayrıntı</w:t>
            </w:r>
          </w:p>
        </w:tc>
      </w:tr>
      <w:tr>
        <w:tc>
          <w:tcPr>
            <w:tcW w:w="2200" w:type="dxa"/>
            <w:vAlign w:val="center"/>
          </w:tcPr>
          <w:p>
            <w:pPr>
              <w:jc w:val="left"/>
            </w:pPr>
            <w:r>
              <w:rPr>
                <w:rFonts w:ascii="Times New Roman" w:hAnsi="Times New Roman"/>
                <w:sz w:val="18"/>
              </w:rPr>
              <w:t>Ana veri</w:t>
            </w:r>
          </w:p>
        </w:tc>
        <w:tc>
          <w:tcPr>
            <w:tcW w:w="6900" w:type="dxa"/>
            <w:vAlign w:val="center"/>
          </w:tcPr>
          <w:p>
            <w:pPr>
              <w:jc w:val="left"/>
            </w:pPr>
            <w:r>
              <w:rPr>
                <w:rFonts w:ascii="Times New Roman" w:hAnsi="Times New Roman"/>
                <w:sz w:val="18"/>
              </w:rPr>
              <w:t>16.777 örnek; Twitter Financial News Sentiment 11.931, Financial PhraseBank 4.846.</w:t>
            </w:r>
          </w:p>
        </w:tc>
      </w:tr>
      <w:tr>
        <w:tc>
          <w:tcPr>
            <w:tcW w:w="2200" w:type="dxa"/>
            <w:vAlign w:val="center"/>
          </w:tcPr>
          <w:p>
            <w:pPr>
              <w:jc w:val="left"/>
            </w:pPr>
            <w:r>
              <w:rPr>
                <w:rFonts w:ascii="Times New Roman" w:hAnsi="Times New Roman"/>
                <w:sz w:val="18"/>
              </w:rPr>
              <w:t>Split</w:t>
            </w:r>
          </w:p>
        </w:tc>
        <w:tc>
          <w:tcPr>
            <w:tcW w:w="6900" w:type="dxa"/>
            <w:vAlign w:val="center"/>
          </w:tcPr>
          <w:p>
            <w:pPr>
              <w:jc w:val="left"/>
            </w:pPr>
            <w:r>
              <w:rPr>
                <w:rFonts w:ascii="Times New Roman" w:hAnsi="Times New Roman"/>
                <w:sz w:val="18"/>
              </w:rPr>
              <w:t>Mevcut split dosyaları: train 12.950, validation 1.432, test 2.386. Toplam ana havuza göre yaklaşık %77,19 / %8,54 / %14,22.</w:t>
            </w:r>
          </w:p>
        </w:tc>
      </w:tr>
      <w:tr>
        <w:tc>
          <w:tcPr>
            <w:tcW w:w="2200" w:type="dxa"/>
            <w:vAlign w:val="center"/>
          </w:tcPr>
          <w:p>
            <w:pPr>
              <w:jc w:val="left"/>
            </w:pPr>
            <w:r>
              <w:rPr>
                <w:rFonts w:ascii="Times New Roman" w:hAnsi="Times New Roman"/>
                <w:sz w:val="18"/>
              </w:rPr>
              <w:t>Sınıf dağılımı</w:t>
            </w:r>
          </w:p>
        </w:tc>
        <w:tc>
          <w:tcPr>
            <w:tcW w:w="6900" w:type="dxa"/>
            <w:vAlign w:val="center"/>
          </w:tcPr>
          <w:p>
            <w:pPr>
              <w:jc w:val="left"/>
            </w:pPr>
            <w:r>
              <w:rPr>
                <w:rFonts w:ascii="Times New Roman" w:hAnsi="Times New Roman"/>
                <w:sz w:val="18"/>
              </w:rPr>
              <w:t>Ana havuz: negative 2.393 (%14,26), neutral 10.623 (%63,32), positive 3.761 (%22,42).</w:t>
            </w:r>
          </w:p>
        </w:tc>
      </w:tr>
      <w:tr>
        <w:tc>
          <w:tcPr>
            <w:tcW w:w="2200" w:type="dxa"/>
            <w:vAlign w:val="center"/>
          </w:tcPr>
          <w:p>
            <w:pPr>
              <w:jc w:val="left"/>
            </w:pPr>
            <w:r>
              <w:rPr>
                <w:rFonts w:ascii="Times New Roman" w:hAnsi="Times New Roman"/>
                <w:sz w:val="18"/>
              </w:rPr>
              <w:t>Eğitim ayarları</w:t>
            </w:r>
          </w:p>
        </w:tc>
        <w:tc>
          <w:tcPr>
            <w:tcW w:w="6900" w:type="dxa"/>
            <w:vAlign w:val="center"/>
          </w:tcPr>
          <w:p>
            <w:pPr>
              <w:jc w:val="left"/>
            </w:pPr>
            <w:r>
              <w:rPr>
                <w:rFonts w:ascii="Times New Roman" w:hAnsi="Times New Roman"/>
                <w:sz w:val="18"/>
              </w:rPr>
              <w:t>Seed 42; epoch 4; learning rate 2e-5; train batch size 16; eval batch size 32; max length 128; weight decay 0,01; class weights açık.</w:t>
            </w:r>
          </w:p>
        </w:tc>
      </w:tr>
      <w:tr>
        <w:tc>
          <w:tcPr>
            <w:tcW w:w="2200" w:type="dxa"/>
            <w:vAlign w:val="center"/>
          </w:tcPr>
          <w:p>
            <w:pPr>
              <w:jc w:val="left"/>
            </w:pPr>
            <w:r>
              <w:rPr>
                <w:rFonts w:ascii="Times New Roman" w:hAnsi="Times New Roman"/>
                <w:sz w:val="18"/>
              </w:rPr>
              <w:t>Model sürümleri</w:t>
            </w:r>
          </w:p>
        </w:tc>
        <w:tc>
          <w:tcPr>
            <w:tcW w:w="6900" w:type="dxa"/>
            <w:vAlign w:val="center"/>
          </w:tcPr>
          <w:p>
            <w:r>
              <w:t>ProsusAI/finbert; bert-base-uncased; distilbert-base-uncased; roberta-base. Tamamlayıcı/keşifsel sıfır örnekli analiz için BART-large-MNLI ve NLI/MNLI model ailesi.</w:t>
            </w:r>
          </w:p>
        </w:tc>
      </w:tr>
      <w:tr>
        <w:tc>
          <w:tcPr>
            <w:tcW w:w="2200" w:type="dxa"/>
            <w:vAlign w:val="center"/>
          </w:tcPr>
          <w:p>
            <w:pPr>
              <w:jc w:val="left"/>
            </w:pPr>
            <w:r>
              <w:rPr>
                <w:rFonts w:ascii="Times New Roman" w:hAnsi="Times New Roman"/>
                <w:sz w:val="18"/>
              </w:rPr>
              <w:t>Yazılım/donanım</w:t>
            </w:r>
          </w:p>
        </w:tc>
        <w:tc>
          <w:tcPr>
            <w:tcW w:w="6900" w:type="dxa"/>
            <w:vAlign w:val="center"/>
          </w:tcPr>
          <w:p>
            <w:pPr>
              <w:jc w:val="left"/>
            </w:pPr>
            <w:r>
              <w:rPr>
                <w:rFonts w:ascii="Times New Roman" w:hAnsi="Times New Roman"/>
                <w:sz w:val="18"/>
              </w:rPr>
              <w:t>Python 3.14.2, PyTorch 2.11.0+cpu, Transformers 5.8.1, Datasets 4.5.0, scikit-learn 1.8.0. Notebook çıktılarında CUDA false ve cihaz CPU olarak görünmektedir.</w:t>
            </w:r>
          </w:p>
        </w:tc>
      </w:tr>
      <w:tr>
        <w:tc>
          <w:tcPr>
            <w:tcW w:w="2200" w:type="dxa"/>
            <w:vAlign w:val="center"/>
          </w:tcPr>
          <w:p>
            <w:pPr>
              <w:jc w:val="left"/>
            </w:pPr>
            <w:r>
              <w:rPr>
                <w:rFonts w:ascii="Times New Roman" w:hAnsi="Times New Roman"/>
                <w:sz w:val="18"/>
              </w:rPr>
              <w:t>İstatistiksel güvenilirlik</w:t>
            </w:r>
          </w:p>
        </w:tc>
        <w:tc>
          <w:tcPr>
            <w:tcW w:w="6900" w:type="dxa"/>
            <w:vAlign w:val="center"/>
          </w:tcPr>
          <w:p>
            <w:pPr>
              <w:jc w:val="left"/>
            </w:pPr>
            <w:r>
              <w:rPr>
                <w:rFonts w:ascii="Times New Roman" w:hAnsi="Times New Roman"/>
                <w:sz w:val="18"/>
              </w:rPr>
              <w:t>Mevcut çalıştırmalar tek random seed (42) ile yapılmıştır. Çoklu seed ortalama ve standart sapma bu klasörde mevcut değildir; bu nedenle sonuçlar tek çalıştırma olarak raporlanmıştır.</w:t>
            </w:r>
          </w:p>
        </w:tc>
      </w:tr>
    </w:tbl>
    <w:p>
      <w:pPr>
        <w:pStyle w:val="Heading2"/>
      </w:pPr>
      <w:r>
        <w:rPr>
          <w:rFonts w:ascii="Times New Roman" w:hAnsi="Times New Roman"/>
        </w:rPr>
        <w:t>C.2. Veri Seti Büyüklükleri ve Sınıf Dağılımları</w:t>
      </w:r>
    </w:p>
    <w:tbl>
      <w:tblPr>
        <w:tblStyle w:val="TableGrid"/>
        <w:tblW w:w="79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00"/>
        <w:gridCol w:w="1100"/>
        <w:gridCol w:w="1500"/>
        <w:gridCol w:w="1500"/>
        <w:gridCol w:w="1500"/>
      </w:tblGrid>
      <w:tr>
        <w:trPr>
          <w:tblHeader w:val="true"/>
        </w:trPr>
        <w:tc>
          <w:tcPr>
            <w:tcW w:w="2300" w:type="dxa"/>
            <w:shd w:fill="D9EAF7"/>
            <w:vAlign w:val="center"/>
          </w:tcPr>
          <w:p>
            <w:pPr>
              <w:jc w:val="center"/>
            </w:pPr>
            <w:r>
              <w:rPr>
                <w:sz w:val="18"/>
                <w:rFonts w:ascii="Times New Roman" w:hAnsi="Times New Roman"/>
                <w:b/>
              </w:rPr>
              <w:t>Veri seti</w:t>
            </w:r>
          </w:p>
        </w:tc>
        <w:tc>
          <w:tcPr>
            <w:tcW w:w="1100" w:type="dxa"/>
            <w:shd w:fill="D9EAF7"/>
            <w:vAlign w:val="center"/>
          </w:tcPr>
          <w:p>
            <w:pPr>
              <w:jc w:val="center"/>
            </w:pPr>
            <w:r>
              <w:rPr>
                <w:sz w:val="18"/>
                <w:rFonts w:ascii="Times New Roman" w:hAnsi="Times New Roman"/>
                <w:b/>
              </w:rPr>
              <w:t>N</w:t>
            </w:r>
          </w:p>
        </w:tc>
        <w:tc>
          <w:tcPr>
            <w:tcW w:w="1500" w:type="dxa"/>
            <w:shd w:fill="D9EAF7"/>
            <w:vAlign w:val="center"/>
          </w:tcPr>
          <w:p>
            <w:pPr>
              <w:jc w:val="center"/>
            </w:pPr>
            <w:r>
              <w:rPr>
                <w:sz w:val="18"/>
                <w:rFonts w:ascii="Times New Roman" w:hAnsi="Times New Roman"/>
                <w:b/>
              </w:rPr>
              <w:t>Negative</w:t>
            </w:r>
          </w:p>
        </w:tc>
        <w:tc>
          <w:tcPr>
            <w:tcW w:w="1500" w:type="dxa"/>
            <w:shd w:fill="D9EAF7"/>
            <w:vAlign w:val="center"/>
          </w:tcPr>
          <w:p>
            <w:pPr>
              <w:jc w:val="center"/>
            </w:pPr>
            <w:r>
              <w:rPr>
                <w:sz w:val="18"/>
                <w:rFonts w:ascii="Times New Roman" w:hAnsi="Times New Roman"/>
                <w:b/>
              </w:rPr>
              <w:t>Neutral</w:t>
            </w:r>
          </w:p>
        </w:tc>
        <w:tc>
          <w:tcPr>
            <w:tcW w:w="1500" w:type="dxa"/>
            <w:shd w:fill="D9EAF7"/>
            <w:vAlign w:val="center"/>
          </w:tcPr>
          <w:p>
            <w:pPr>
              <w:jc w:val="center"/>
            </w:pPr>
            <w:r>
              <w:rPr>
                <w:sz w:val="18"/>
                <w:rFonts w:ascii="Times New Roman" w:hAnsi="Times New Roman"/>
                <w:b/>
              </w:rPr>
              <w:t>Positive</w:t>
            </w:r>
          </w:p>
        </w:tc>
      </w:tr>
      <w:tr>
        <w:tc>
          <w:tcPr>
            <w:tcW w:w="2300" w:type="dxa"/>
            <w:vAlign w:val="center"/>
          </w:tcPr>
          <w:p>
            <w:pPr>
              <w:jc w:val="left"/>
            </w:pPr>
            <w:r>
              <w:rPr>
                <w:rFonts w:ascii="Times New Roman" w:hAnsi="Times New Roman"/>
                <w:sz w:val="18"/>
              </w:rPr>
              <w:t>Ana havuz</w:t>
            </w:r>
          </w:p>
        </w:tc>
        <w:tc>
          <w:tcPr>
            <w:tcW w:w="1100" w:type="dxa"/>
            <w:vAlign w:val="center"/>
          </w:tcPr>
          <w:p>
            <w:pPr>
              <w:jc w:val="left"/>
            </w:pPr>
            <w:r>
              <w:rPr>
                <w:rFonts w:ascii="Times New Roman" w:hAnsi="Times New Roman"/>
                <w:sz w:val="18"/>
              </w:rPr>
              <w:t>16.777</w:t>
            </w:r>
          </w:p>
        </w:tc>
        <w:tc>
          <w:tcPr>
            <w:tcW w:w="1500" w:type="dxa"/>
            <w:vAlign w:val="center"/>
          </w:tcPr>
          <w:p>
            <w:pPr>
              <w:jc w:val="left"/>
            </w:pPr>
            <w:r>
              <w:rPr>
                <w:rFonts w:ascii="Times New Roman" w:hAnsi="Times New Roman"/>
                <w:sz w:val="18"/>
              </w:rPr>
              <w:t>2.393</w:t>
            </w:r>
          </w:p>
        </w:tc>
        <w:tc>
          <w:tcPr>
            <w:tcW w:w="1500" w:type="dxa"/>
            <w:vAlign w:val="center"/>
          </w:tcPr>
          <w:p>
            <w:pPr>
              <w:jc w:val="left"/>
            </w:pPr>
            <w:r>
              <w:rPr>
                <w:rFonts w:ascii="Times New Roman" w:hAnsi="Times New Roman"/>
                <w:sz w:val="18"/>
              </w:rPr>
              <w:t>10.623</w:t>
            </w:r>
          </w:p>
        </w:tc>
        <w:tc>
          <w:tcPr>
            <w:tcW w:w="1500" w:type="dxa"/>
            <w:vAlign w:val="center"/>
          </w:tcPr>
          <w:p>
            <w:pPr>
              <w:jc w:val="left"/>
            </w:pPr>
            <w:r>
              <w:rPr>
                <w:rFonts w:ascii="Times New Roman" w:hAnsi="Times New Roman"/>
                <w:sz w:val="18"/>
              </w:rPr>
              <w:t>3.761</w:t>
            </w:r>
          </w:p>
        </w:tc>
      </w:tr>
      <w:tr>
        <w:tc>
          <w:tcPr>
            <w:tcW w:w="2300" w:type="dxa"/>
            <w:vAlign w:val="center"/>
          </w:tcPr>
          <w:p>
            <w:pPr>
              <w:jc w:val="left"/>
            </w:pPr>
            <w:r>
              <w:rPr>
                <w:rFonts w:ascii="Times New Roman" w:hAnsi="Times New Roman"/>
                <w:sz w:val="18"/>
              </w:rPr>
              <w:t>Train</w:t>
            </w:r>
          </w:p>
        </w:tc>
        <w:tc>
          <w:tcPr>
            <w:tcW w:w="1100" w:type="dxa"/>
            <w:vAlign w:val="center"/>
          </w:tcPr>
          <w:p>
            <w:pPr>
              <w:jc w:val="left"/>
            </w:pPr>
            <w:r>
              <w:rPr>
                <w:rFonts w:ascii="Times New Roman" w:hAnsi="Times New Roman"/>
                <w:sz w:val="18"/>
              </w:rPr>
              <w:t>12.950</w:t>
            </w:r>
          </w:p>
        </w:tc>
        <w:tc>
          <w:tcPr>
            <w:tcW w:w="1500" w:type="dxa"/>
            <w:vAlign w:val="center"/>
          </w:tcPr>
          <w:p>
            <w:pPr>
              <w:jc w:val="left"/>
            </w:pPr>
            <w:r>
              <w:rPr>
                <w:rFonts w:ascii="Times New Roman" w:hAnsi="Times New Roman"/>
                <w:sz w:val="18"/>
              </w:rPr>
              <w:t>1.820</w:t>
            </w:r>
          </w:p>
        </w:tc>
        <w:tc>
          <w:tcPr>
            <w:tcW w:w="1500" w:type="dxa"/>
            <w:vAlign w:val="center"/>
          </w:tcPr>
          <w:p>
            <w:pPr>
              <w:jc w:val="left"/>
            </w:pPr>
            <w:r>
              <w:rPr>
                <w:rFonts w:ascii="Times New Roman" w:hAnsi="Times New Roman"/>
                <w:sz w:val="18"/>
              </w:rPr>
              <w:t>8.137</w:t>
            </w:r>
          </w:p>
        </w:tc>
        <w:tc>
          <w:tcPr>
            <w:tcW w:w="1500" w:type="dxa"/>
            <w:vAlign w:val="center"/>
          </w:tcPr>
          <w:p>
            <w:pPr>
              <w:jc w:val="left"/>
            </w:pPr>
            <w:r>
              <w:rPr>
                <w:rFonts w:ascii="Times New Roman" w:hAnsi="Times New Roman"/>
                <w:sz w:val="18"/>
              </w:rPr>
              <w:t>2.993</w:t>
            </w:r>
          </w:p>
        </w:tc>
      </w:tr>
      <w:tr>
        <w:tc>
          <w:tcPr>
            <w:tcW w:w="2300" w:type="dxa"/>
            <w:vAlign w:val="center"/>
          </w:tcPr>
          <w:p>
            <w:pPr>
              <w:jc w:val="left"/>
            </w:pPr>
            <w:r>
              <w:rPr>
                <w:rFonts w:ascii="Times New Roman" w:hAnsi="Times New Roman"/>
                <w:sz w:val="18"/>
              </w:rPr>
              <w:t>Validation</w:t>
            </w:r>
          </w:p>
        </w:tc>
        <w:tc>
          <w:tcPr>
            <w:tcW w:w="1100" w:type="dxa"/>
            <w:vAlign w:val="center"/>
          </w:tcPr>
          <w:p>
            <w:pPr>
              <w:jc w:val="left"/>
            </w:pPr>
            <w:r>
              <w:rPr>
                <w:rFonts w:ascii="Times New Roman" w:hAnsi="Times New Roman"/>
                <w:sz w:val="18"/>
              </w:rPr>
              <w:t>1.432</w:t>
            </w:r>
          </w:p>
        </w:tc>
        <w:tc>
          <w:tcPr>
            <w:tcW w:w="1500" w:type="dxa"/>
            <w:vAlign w:val="center"/>
          </w:tcPr>
          <w:p>
            <w:pPr>
              <w:jc w:val="left"/>
            </w:pPr>
            <w:r>
              <w:rPr>
                <w:rFonts w:ascii="Times New Roman" w:hAnsi="Times New Roman"/>
                <w:sz w:val="18"/>
              </w:rPr>
              <w:t>215</w:t>
            </w:r>
          </w:p>
        </w:tc>
        <w:tc>
          <w:tcPr>
            <w:tcW w:w="1500" w:type="dxa"/>
            <w:vAlign w:val="center"/>
          </w:tcPr>
          <w:p>
            <w:pPr>
              <w:jc w:val="left"/>
            </w:pPr>
            <w:r>
              <w:rPr>
                <w:rFonts w:ascii="Times New Roman" w:hAnsi="Times New Roman"/>
                <w:sz w:val="18"/>
              </w:rPr>
              <w:t>929</w:t>
            </w:r>
          </w:p>
        </w:tc>
        <w:tc>
          <w:tcPr>
            <w:tcW w:w="1500" w:type="dxa"/>
            <w:vAlign w:val="center"/>
          </w:tcPr>
          <w:p>
            <w:pPr>
              <w:jc w:val="left"/>
            </w:pPr>
            <w:r>
              <w:rPr>
                <w:rFonts w:ascii="Times New Roman" w:hAnsi="Times New Roman"/>
                <w:sz w:val="18"/>
              </w:rPr>
              <w:t>288</w:t>
            </w:r>
          </w:p>
        </w:tc>
      </w:tr>
      <w:tr>
        <w:tc>
          <w:tcPr>
            <w:tcW w:w="2300" w:type="dxa"/>
            <w:vAlign w:val="center"/>
          </w:tcPr>
          <w:p>
            <w:pPr>
              <w:jc w:val="left"/>
            </w:pPr>
            <w:r>
              <w:rPr>
                <w:rFonts w:ascii="Times New Roman" w:hAnsi="Times New Roman"/>
                <w:sz w:val="18"/>
              </w:rPr>
              <w:t>Test</w:t>
            </w:r>
          </w:p>
        </w:tc>
        <w:tc>
          <w:tcPr>
            <w:tcW w:w="1100" w:type="dxa"/>
            <w:vAlign w:val="center"/>
          </w:tcPr>
          <w:p>
            <w:pPr>
              <w:jc w:val="left"/>
            </w:pPr>
            <w:r>
              <w:rPr>
                <w:rFonts w:ascii="Times New Roman" w:hAnsi="Times New Roman"/>
                <w:sz w:val="18"/>
              </w:rPr>
              <w:t>2.386</w:t>
            </w:r>
          </w:p>
        </w:tc>
        <w:tc>
          <w:tcPr>
            <w:tcW w:w="1500" w:type="dxa"/>
            <w:vAlign w:val="center"/>
          </w:tcPr>
          <w:p>
            <w:pPr>
              <w:jc w:val="left"/>
            </w:pPr>
            <w:r>
              <w:rPr>
                <w:rFonts w:ascii="Times New Roman" w:hAnsi="Times New Roman"/>
                <w:sz w:val="18"/>
              </w:rPr>
              <w:t>358</w:t>
            </w:r>
          </w:p>
        </w:tc>
        <w:tc>
          <w:tcPr>
            <w:tcW w:w="1500" w:type="dxa"/>
            <w:vAlign w:val="center"/>
          </w:tcPr>
          <w:p>
            <w:pPr>
              <w:jc w:val="left"/>
            </w:pPr>
            <w:r>
              <w:rPr>
                <w:rFonts w:ascii="Times New Roman" w:hAnsi="Times New Roman"/>
                <w:sz w:val="18"/>
              </w:rPr>
              <w:t>1.549</w:t>
            </w:r>
          </w:p>
        </w:tc>
        <w:tc>
          <w:tcPr>
            <w:tcW w:w="1500" w:type="dxa"/>
            <w:vAlign w:val="center"/>
          </w:tcPr>
          <w:p>
            <w:pPr>
              <w:jc w:val="left"/>
            </w:pPr>
            <w:r>
              <w:rPr>
                <w:rFonts w:ascii="Times New Roman" w:hAnsi="Times New Roman"/>
                <w:sz w:val="18"/>
              </w:rPr>
              <w:t>479</w:t>
            </w:r>
          </w:p>
        </w:tc>
      </w:tr>
      <w:tr>
        <w:tc>
          <w:tcPr>
            <w:tcW w:w="2300" w:type="dxa"/>
            <w:vAlign w:val="center"/>
          </w:tcPr>
          <w:p>
            <w:pPr>
              <w:jc w:val="left"/>
            </w:pPr>
            <w:r>
              <w:rPr>
                <w:rFonts w:ascii="Times New Roman" w:hAnsi="Times New Roman"/>
                <w:sz w:val="18"/>
              </w:rPr>
              <w:t>S&amp;P 500 dış test</w:t>
            </w:r>
          </w:p>
        </w:tc>
        <w:tc>
          <w:tcPr>
            <w:tcW w:w="1100" w:type="dxa"/>
            <w:vAlign w:val="center"/>
          </w:tcPr>
          <w:p>
            <w:pPr>
              <w:jc w:val="left"/>
            </w:pPr>
            <w:r>
              <w:rPr>
                <w:rFonts w:ascii="Times New Roman" w:hAnsi="Times New Roman"/>
                <w:sz w:val="18"/>
              </w:rPr>
              <w:t>1.060</w:t>
            </w:r>
          </w:p>
        </w:tc>
        <w:tc>
          <w:tcPr>
            <w:tcW w:w="1500" w:type="dxa"/>
            <w:vAlign w:val="center"/>
          </w:tcPr>
          <w:p>
            <w:pPr>
              <w:jc w:val="left"/>
            </w:pPr>
            <w:r>
              <w:rPr>
                <w:rFonts w:ascii="Times New Roman" w:hAnsi="Times New Roman"/>
                <w:sz w:val="18"/>
              </w:rPr>
              <w:t>323</w:t>
            </w:r>
          </w:p>
        </w:tc>
        <w:tc>
          <w:tcPr>
            <w:tcW w:w="1500" w:type="dxa"/>
            <w:vAlign w:val="center"/>
          </w:tcPr>
          <w:p>
            <w:pPr>
              <w:jc w:val="left"/>
            </w:pPr>
            <w:r>
              <w:rPr>
                <w:rFonts w:ascii="Times New Roman" w:hAnsi="Times New Roman"/>
                <w:sz w:val="18"/>
              </w:rPr>
              <w:t>339</w:t>
            </w:r>
          </w:p>
        </w:tc>
        <w:tc>
          <w:tcPr>
            <w:tcW w:w="1500" w:type="dxa"/>
            <w:vAlign w:val="center"/>
          </w:tcPr>
          <w:p>
            <w:pPr>
              <w:jc w:val="left"/>
            </w:pPr>
            <w:r>
              <w:rPr>
                <w:rFonts w:ascii="Times New Roman" w:hAnsi="Times New Roman"/>
                <w:sz w:val="18"/>
              </w:rPr>
              <w:t>398</w:t>
            </w:r>
          </w:p>
        </w:tc>
      </w:tr>
      <w:tr>
        <w:tc>
          <w:tcPr>
            <w:tcW w:w="2300" w:type="dxa"/>
            <w:vAlign w:val="center"/>
          </w:tcPr>
          <w:p>
            <w:pPr>
              <w:jc w:val="left"/>
            </w:pPr>
            <w:r>
              <w:rPr>
                <w:rFonts w:ascii="Times New Roman" w:hAnsi="Times New Roman"/>
                <w:sz w:val="18"/>
              </w:rPr>
              <w:t>Sentetik test</w:t>
            </w:r>
          </w:p>
        </w:tc>
        <w:tc>
          <w:tcPr>
            <w:tcW w:w="1100" w:type="dxa"/>
            <w:vAlign w:val="center"/>
          </w:tcPr>
          <w:p>
            <w:pPr>
              <w:jc w:val="left"/>
            </w:pPr>
            <w:r>
              <w:rPr>
                <w:rFonts w:ascii="Times New Roman" w:hAnsi="Times New Roman"/>
                <w:sz w:val="18"/>
              </w:rPr>
              <w:t>3.000</w:t>
            </w:r>
          </w:p>
        </w:tc>
        <w:tc>
          <w:tcPr>
            <w:tcW w:w="1500" w:type="dxa"/>
            <w:vAlign w:val="center"/>
          </w:tcPr>
          <w:p>
            <w:pPr>
              <w:jc w:val="left"/>
            </w:pPr>
            <w:r>
              <w:rPr>
                <w:rFonts w:ascii="Times New Roman" w:hAnsi="Times New Roman"/>
                <w:sz w:val="18"/>
              </w:rPr>
              <w:t>1.000</w:t>
            </w:r>
          </w:p>
        </w:tc>
        <w:tc>
          <w:tcPr>
            <w:tcW w:w="1500" w:type="dxa"/>
            <w:vAlign w:val="center"/>
          </w:tcPr>
          <w:p>
            <w:pPr>
              <w:jc w:val="left"/>
            </w:pPr>
            <w:r>
              <w:rPr>
                <w:rFonts w:ascii="Times New Roman" w:hAnsi="Times New Roman"/>
                <w:sz w:val="18"/>
              </w:rPr>
              <w:t>1.000</w:t>
            </w:r>
          </w:p>
        </w:tc>
        <w:tc>
          <w:tcPr>
            <w:tcW w:w="1500" w:type="dxa"/>
            <w:vAlign w:val="center"/>
          </w:tcPr>
          <w:p>
            <w:pPr>
              <w:jc w:val="left"/>
            </w:pPr>
            <w:r>
              <w:rPr>
                <w:rFonts w:ascii="Times New Roman" w:hAnsi="Times New Roman"/>
                <w:sz w:val="18"/>
              </w:rPr>
              <w:t>1.000</w:t>
            </w:r>
          </w:p>
        </w:tc>
      </w:tr>
      <w:tr>
        <w:tc>
          <w:tcPr>
            <w:tcW w:w="2300" w:type="dxa"/>
            <w:vAlign w:val="center"/>
          </w:tcPr>
          <w:p>
            <w:pPr>
              <w:jc w:val="left"/>
            </w:pPr>
            <w:r>
              <w:rPr>
                <w:rFonts w:ascii="Times New Roman" w:hAnsi="Times New Roman"/>
                <w:sz w:val="18"/>
              </w:rPr>
              <w:t>Reuters dış test</w:t>
            </w:r>
          </w:p>
        </w:tc>
        <w:tc>
          <w:tcPr>
            <w:tcW w:w="1100" w:type="dxa"/>
            <w:vAlign w:val="center"/>
          </w:tcPr>
          <w:p>
            <w:pPr>
              <w:jc w:val="left"/>
            </w:pPr>
            <w:r>
              <w:rPr>
                <w:rFonts w:ascii="Times New Roman" w:hAnsi="Times New Roman"/>
                <w:sz w:val="18"/>
              </w:rPr>
              <w:t>5.000</w:t>
            </w:r>
          </w:p>
        </w:tc>
        <w:tc>
          <w:tcPr>
            <w:tcW w:w="1500" w:type="dxa"/>
            <w:vAlign w:val="center"/>
          </w:tcPr>
          <w:p>
            <w:pPr>
              <w:jc w:val="left"/>
            </w:pPr>
            <w:r>
              <w:rPr>
                <w:rFonts w:ascii="Times New Roman" w:hAnsi="Times New Roman"/>
                <w:sz w:val="18"/>
              </w:rPr>
              <w:t>1.579</w:t>
            </w:r>
          </w:p>
        </w:tc>
        <w:tc>
          <w:tcPr>
            <w:tcW w:w="1500" w:type="dxa"/>
            <w:vAlign w:val="center"/>
          </w:tcPr>
          <w:p>
            <w:pPr>
              <w:jc w:val="left"/>
            </w:pPr>
            <w:r>
              <w:rPr>
                <w:rFonts w:ascii="Times New Roman" w:hAnsi="Times New Roman"/>
                <w:sz w:val="18"/>
              </w:rPr>
              <w:t>1.146</w:t>
            </w:r>
          </w:p>
        </w:tc>
        <w:tc>
          <w:tcPr>
            <w:tcW w:w="1500" w:type="dxa"/>
            <w:vAlign w:val="center"/>
          </w:tcPr>
          <w:p>
            <w:pPr>
              <w:jc w:val="left"/>
            </w:pPr>
            <w:r>
              <w:rPr>
                <w:rFonts w:ascii="Times New Roman" w:hAnsi="Times New Roman"/>
                <w:sz w:val="18"/>
              </w:rPr>
              <w:t>2.275</w:t>
            </w:r>
          </w:p>
        </w:tc>
      </w:tr>
    </w:tbl>
    <w:p>
      <w:pPr>
        <w:pStyle w:val="Heading2"/>
      </w:pPr>
      <w:r>
        <w:rPr>
          <w:rFonts w:ascii="Times New Roman" w:hAnsi="Times New Roman"/>
        </w:rPr>
        <w:t>C.3. Tek Sonuç Tablosu</w:t>
      </w:r>
    </w:p>
    <w:p>
      <w:pPr>
        <w:spacing w:line="360" w:lineRule="auto" w:after="120"/>
        <w:ind w:firstLine="720"/>
        <w:jc w:val="both"/>
      </w:pPr>
      <w:r>
        <w:rPr>
          <w:rFonts w:ascii="Times New Roman" w:hAnsi="Times New Roman"/>
          <w:sz w:val="24"/>
        </w:rPr>
        <w:t>Tabloda P-makro ve R-makro sırasıyla makro precision ve makro recall değerlerini gösterir. Internal testte Original FinBERT satırı notebook çıktısından alınmış ve n=2.387 olarak raporlanmıştır; güncel split dosyasında test satır sayısı 2.386'dır.</w:t>
      </w:r>
    </w:p>
    <w:tbl>
      <w:tblPr>
        <w:tblStyle w:val="TableGrid"/>
        <w:tblW w:w="102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00"/>
        <w:gridCol w:w="1900"/>
        <w:gridCol w:w="800"/>
        <w:gridCol w:w="800"/>
        <w:gridCol w:w="850"/>
        <w:gridCol w:w="850"/>
        <w:gridCol w:w="900"/>
        <w:gridCol w:w="800"/>
        <w:gridCol w:w="800"/>
        <w:gridCol w:w="800"/>
      </w:tblGrid>
      <w:tr>
        <w:trPr>
          <w:tblHeader w:val="true"/>
        </w:trPr>
        <w:tc>
          <w:tcPr>
            <w:tcW w:w="1700" w:type="dxa"/>
            <w:shd w:fill="D9EAF7"/>
            <w:vAlign w:val="center"/>
          </w:tcPr>
          <w:p>
            <w:pPr>
              <w:jc w:val="center"/>
            </w:pPr>
            <w:r>
              <w:rPr>
                <w:sz w:val="16"/>
                <w:rFonts w:ascii="Times New Roman" w:hAnsi="Times New Roman"/>
                <w:b/>
              </w:rPr>
              <w:t>Veri</w:t>
            </w:r>
          </w:p>
        </w:tc>
        <w:tc>
          <w:tcPr>
            <w:tcW w:w="1900" w:type="dxa"/>
            <w:shd w:fill="D9EAF7"/>
            <w:vAlign w:val="center"/>
          </w:tcPr>
          <w:p>
            <w:pPr>
              <w:jc w:val="center"/>
            </w:pPr>
            <w:r>
              <w:rPr>
                <w:sz w:val="16"/>
                <w:rFonts w:ascii="Times New Roman" w:hAnsi="Times New Roman"/>
                <w:b/>
              </w:rPr>
              <w:t>Model</w:t>
            </w:r>
          </w:p>
        </w:tc>
        <w:tc>
          <w:tcPr>
            <w:tcW w:w="800" w:type="dxa"/>
            <w:shd w:fill="D9EAF7"/>
            <w:vAlign w:val="center"/>
          </w:tcPr>
          <w:p>
            <w:pPr>
              <w:jc w:val="center"/>
            </w:pPr>
            <w:r>
              <w:rPr>
                <w:sz w:val="16"/>
                <w:rFonts w:ascii="Times New Roman" w:hAnsi="Times New Roman"/>
                <w:b/>
              </w:rPr>
              <w:t>N</w:t>
            </w:r>
          </w:p>
        </w:tc>
        <w:tc>
          <w:tcPr>
            <w:tcW w:w="800" w:type="dxa"/>
            <w:shd w:fill="D9EAF7"/>
            <w:vAlign w:val="center"/>
          </w:tcPr>
          <w:p>
            <w:pPr>
              <w:jc w:val="center"/>
            </w:pPr>
            <w:r>
              <w:rPr>
                <w:sz w:val="16"/>
                <w:rFonts w:ascii="Times New Roman" w:hAnsi="Times New Roman"/>
                <w:b/>
              </w:rPr>
              <w:t>Acc</w:t>
            </w:r>
          </w:p>
        </w:tc>
        <w:tc>
          <w:tcPr>
            <w:tcW w:w="850" w:type="dxa"/>
            <w:shd w:fill="D9EAF7"/>
            <w:vAlign w:val="center"/>
          </w:tcPr>
          <w:p>
            <w:pPr>
              <w:jc w:val="center"/>
            </w:pPr>
            <w:r>
              <w:rPr>
                <w:sz w:val="16"/>
                <w:rFonts w:ascii="Times New Roman" w:hAnsi="Times New Roman"/>
                <w:b/>
              </w:rPr>
              <w:t>P-makro</w:t>
            </w:r>
          </w:p>
        </w:tc>
        <w:tc>
          <w:tcPr>
            <w:tcW w:w="850" w:type="dxa"/>
            <w:shd w:fill="D9EAF7"/>
            <w:vAlign w:val="center"/>
          </w:tcPr>
          <w:p>
            <w:pPr>
              <w:jc w:val="center"/>
            </w:pPr>
            <w:r>
              <w:rPr>
                <w:sz w:val="16"/>
                <w:rFonts w:ascii="Times New Roman" w:hAnsi="Times New Roman"/>
                <w:b/>
              </w:rPr>
              <w:t>R-makro</w:t>
            </w:r>
          </w:p>
        </w:tc>
        <w:tc>
          <w:tcPr>
            <w:tcW w:w="900" w:type="dxa"/>
            <w:shd w:fill="D9EAF7"/>
            <w:vAlign w:val="center"/>
          </w:tcPr>
          <w:p>
            <w:pPr>
              <w:jc w:val="center"/>
            </w:pPr>
            <w:r>
              <w:rPr>
                <w:sz w:val="16"/>
                <w:rFonts w:ascii="Times New Roman" w:hAnsi="Times New Roman"/>
                <w:b/>
              </w:rPr>
              <w:t>F1-makro</w:t>
            </w:r>
          </w:p>
        </w:tc>
        <w:tc>
          <w:tcPr>
            <w:tcW w:w="800" w:type="dxa"/>
            <w:shd w:fill="D9EAF7"/>
            <w:vAlign w:val="center"/>
          </w:tcPr>
          <w:p>
            <w:pPr>
              <w:jc w:val="center"/>
            </w:pPr>
            <w:r>
              <w:rPr>
                <w:sz w:val="16"/>
                <w:rFonts w:ascii="Times New Roman" w:hAnsi="Times New Roman"/>
                <w:b/>
              </w:rPr>
              <w:t>F1-neg</w:t>
            </w:r>
          </w:p>
        </w:tc>
        <w:tc>
          <w:tcPr>
            <w:tcW w:w="800" w:type="dxa"/>
            <w:shd w:fill="D9EAF7"/>
            <w:vAlign w:val="center"/>
          </w:tcPr>
          <w:p>
            <w:pPr>
              <w:jc w:val="center"/>
            </w:pPr>
            <w:r>
              <w:rPr>
                <w:sz w:val="16"/>
                <w:rFonts w:ascii="Times New Roman" w:hAnsi="Times New Roman"/>
                <w:b/>
              </w:rPr>
              <w:t>F1-neu</w:t>
            </w:r>
          </w:p>
        </w:tc>
        <w:tc>
          <w:tcPr>
            <w:tcW w:w="800" w:type="dxa"/>
            <w:shd w:fill="D9EAF7"/>
            <w:vAlign w:val="center"/>
          </w:tcPr>
          <w:p>
            <w:pPr>
              <w:jc w:val="center"/>
            </w:pPr>
            <w:r>
              <w:rPr>
                <w:sz w:val="16"/>
                <w:rFonts w:ascii="Times New Roman" w:hAnsi="Times New Roman"/>
                <w:b/>
              </w:rPr>
              <w:t>F1-pos</w:t>
            </w:r>
          </w:p>
        </w:tc>
      </w:tr>
      <w:tr>
        <w:tc>
          <w:tcPr>
            <w:tcW w:w="1700" w:type="dxa"/>
            <w:vAlign w:val="center"/>
          </w:tcPr>
          <w:p>
            <w:pPr>
              <w:jc w:val="left"/>
            </w:pPr>
            <w:r>
              <w:rPr>
                <w:rFonts w:ascii="Times New Roman" w:hAnsi="Times New Roman"/>
                <w:sz w:val="16"/>
              </w:rPr>
              <w:t>Internal Twitter test</w:t>
            </w:r>
          </w:p>
        </w:tc>
        <w:tc>
          <w:tcPr>
            <w:tcW w:w="1900" w:type="dxa"/>
            <w:vAlign w:val="center"/>
          </w:tcPr>
          <w:p>
            <w:pPr>
              <w:jc w:val="left"/>
            </w:pPr>
            <w:r>
              <w:rPr>
                <w:rFonts w:ascii="Times New Roman" w:hAnsi="Times New Roman"/>
                <w:sz w:val="16"/>
              </w:rPr>
              <w:t>RoBERTa-base</w:t>
            </w:r>
          </w:p>
        </w:tc>
        <w:tc>
          <w:tcPr>
            <w:tcW w:w="800" w:type="dxa"/>
            <w:vAlign w:val="center"/>
          </w:tcPr>
          <w:p>
            <w:pPr>
              <w:jc w:val="left"/>
            </w:pPr>
            <w:r>
              <w:rPr>
                <w:rFonts w:ascii="Times New Roman" w:hAnsi="Times New Roman"/>
                <w:sz w:val="16"/>
              </w:rPr>
              <w:t>2386</w:t>
            </w:r>
          </w:p>
        </w:tc>
        <w:tc>
          <w:tcPr>
            <w:tcW w:w="800" w:type="dxa"/>
            <w:vAlign w:val="center"/>
          </w:tcPr>
          <w:p>
            <w:pPr>
              <w:jc w:val="left"/>
            </w:pPr>
            <w:r>
              <w:rPr>
                <w:rFonts w:ascii="Times New Roman" w:hAnsi="Times New Roman"/>
                <w:sz w:val="16"/>
              </w:rPr>
              <w:t>0.8906</w:t>
            </w:r>
          </w:p>
        </w:tc>
        <w:tc>
          <w:tcPr>
            <w:tcW w:w="850" w:type="dxa"/>
            <w:vAlign w:val="center"/>
          </w:tcPr>
          <w:p>
            <w:pPr>
              <w:jc w:val="left"/>
            </w:pPr>
            <w:r>
              <w:rPr>
                <w:rFonts w:ascii="Times New Roman" w:hAnsi="Times New Roman"/>
                <w:sz w:val="16"/>
              </w:rPr>
              <w:t>0.8511</w:t>
            </w:r>
          </w:p>
        </w:tc>
        <w:tc>
          <w:tcPr>
            <w:tcW w:w="850" w:type="dxa"/>
            <w:vAlign w:val="center"/>
          </w:tcPr>
          <w:p>
            <w:pPr>
              <w:jc w:val="left"/>
            </w:pPr>
            <w:r>
              <w:rPr>
                <w:rFonts w:ascii="Times New Roman" w:hAnsi="Times New Roman"/>
                <w:sz w:val="16"/>
              </w:rPr>
              <w:t>0.8814</w:t>
            </w:r>
          </w:p>
        </w:tc>
        <w:tc>
          <w:tcPr>
            <w:tcW w:w="900" w:type="dxa"/>
            <w:vAlign w:val="center"/>
          </w:tcPr>
          <w:p>
            <w:pPr>
              <w:jc w:val="left"/>
            </w:pPr>
            <w:r>
              <w:rPr>
                <w:rFonts w:ascii="Times New Roman" w:hAnsi="Times New Roman"/>
                <w:sz w:val="16"/>
              </w:rPr>
              <w:t>0.8651</w:t>
            </w:r>
          </w:p>
        </w:tc>
        <w:tc>
          <w:tcPr>
            <w:tcW w:w="800" w:type="dxa"/>
            <w:vAlign w:val="center"/>
          </w:tcPr>
          <w:p>
            <w:pPr>
              <w:jc w:val="left"/>
            </w:pPr>
            <w:r>
              <w:rPr>
                <w:rFonts w:ascii="Times New Roman" w:hAnsi="Times New Roman"/>
                <w:sz w:val="16"/>
              </w:rPr>
              <w:t>0.8329</w:t>
            </w:r>
          </w:p>
        </w:tc>
        <w:tc>
          <w:tcPr>
            <w:tcW w:w="800" w:type="dxa"/>
            <w:vAlign w:val="center"/>
          </w:tcPr>
          <w:p>
            <w:pPr>
              <w:jc w:val="left"/>
            </w:pPr>
            <w:r>
              <w:rPr>
                <w:rFonts w:ascii="Times New Roman" w:hAnsi="Times New Roman"/>
                <w:sz w:val="16"/>
              </w:rPr>
              <w:t>0.9210</w:t>
            </w:r>
          </w:p>
        </w:tc>
        <w:tc>
          <w:tcPr>
            <w:tcW w:w="800" w:type="dxa"/>
            <w:vAlign w:val="center"/>
          </w:tcPr>
          <w:p>
            <w:pPr>
              <w:jc w:val="left"/>
            </w:pPr>
            <w:r>
              <w:rPr>
                <w:rFonts w:ascii="Times New Roman" w:hAnsi="Times New Roman"/>
                <w:sz w:val="16"/>
              </w:rPr>
              <w:t>0.8415</w:t>
            </w:r>
          </w:p>
        </w:tc>
      </w:tr>
      <w:tr>
        <w:tc>
          <w:tcPr>
            <w:tcW w:w="1700" w:type="dxa"/>
            <w:vAlign w:val="center"/>
          </w:tcPr>
          <w:p>
            <w:pPr>
              <w:jc w:val="left"/>
            </w:pPr>
            <w:r>
              <w:rPr>
                <w:rFonts w:ascii="Times New Roman" w:hAnsi="Times New Roman"/>
                <w:sz w:val="16"/>
              </w:rPr>
              <w:t>Internal Twitter test</w:t>
            </w:r>
          </w:p>
        </w:tc>
        <w:tc>
          <w:tcPr>
            <w:tcW w:w="1900" w:type="dxa"/>
            <w:vAlign w:val="center"/>
          </w:tcPr>
          <w:p>
            <w:pPr>
              <w:jc w:val="left"/>
            </w:pPr>
            <w:r>
              <w:rPr>
                <w:rFonts w:ascii="Times New Roman" w:hAnsi="Times New Roman"/>
                <w:sz w:val="16"/>
              </w:rPr>
              <w:t>BERT-base-uncased</w:t>
            </w:r>
          </w:p>
        </w:tc>
        <w:tc>
          <w:tcPr>
            <w:tcW w:w="800" w:type="dxa"/>
            <w:vAlign w:val="center"/>
          </w:tcPr>
          <w:p>
            <w:pPr>
              <w:jc w:val="left"/>
            </w:pPr>
            <w:r>
              <w:rPr>
                <w:rFonts w:ascii="Times New Roman" w:hAnsi="Times New Roman"/>
                <w:sz w:val="16"/>
              </w:rPr>
              <w:t>2386</w:t>
            </w:r>
          </w:p>
        </w:tc>
        <w:tc>
          <w:tcPr>
            <w:tcW w:w="800" w:type="dxa"/>
            <w:vAlign w:val="center"/>
          </w:tcPr>
          <w:p>
            <w:pPr>
              <w:jc w:val="left"/>
            </w:pPr>
            <w:r>
              <w:rPr>
                <w:rFonts w:ascii="Times New Roman" w:hAnsi="Times New Roman"/>
                <w:sz w:val="16"/>
              </w:rPr>
              <w:t>0.8722</w:t>
            </w:r>
          </w:p>
        </w:tc>
        <w:tc>
          <w:tcPr>
            <w:tcW w:w="850" w:type="dxa"/>
            <w:vAlign w:val="center"/>
          </w:tcPr>
          <w:p>
            <w:pPr>
              <w:jc w:val="left"/>
            </w:pPr>
            <w:r>
              <w:rPr>
                <w:rFonts w:ascii="Times New Roman" w:hAnsi="Times New Roman"/>
                <w:sz w:val="16"/>
              </w:rPr>
              <w:t>0.8280</w:t>
            </w:r>
          </w:p>
        </w:tc>
        <w:tc>
          <w:tcPr>
            <w:tcW w:w="850" w:type="dxa"/>
            <w:vAlign w:val="center"/>
          </w:tcPr>
          <w:p>
            <w:pPr>
              <w:jc w:val="left"/>
            </w:pPr>
            <w:r>
              <w:rPr>
                <w:rFonts w:ascii="Times New Roman" w:hAnsi="Times New Roman"/>
                <w:sz w:val="16"/>
              </w:rPr>
              <w:t>0.8487</w:t>
            </w:r>
          </w:p>
        </w:tc>
        <w:tc>
          <w:tcPr>
            <w:tcW w:w="900" w:type="dxa"/>
            <w:vAlign w:val="center"/>
          </w:tcPr>
          <w:p>
            <w:pPr>
              <w:jc w:val="left"/>
            </w:pPr>
            <w:r>
              <w:rPr>
                <w:rFonts w:ascii="Times New Roman" w:hAnsi="Times New Roman"/>
                <w:sz w:val="16"/>
              </w:rPr>
              <w:t>0.8378</w:t>
            </w:r>
          </w:p>
        </w:tc>
        <w:tc>
          <w:tcPr>
            <w:tcW w:w="800" w:type="dxa"/>
            <w:vAlign w:val="center"/>
          </w:tcPr>
          <w:p>
            <w:pPr>
              <w:jc w:val="left"/>
            </w:pPr>
            <w:r>
              <w:rPr>
                <w:rFonts w:ascii="Times New Roman" w:hAnsi="Times New Roman"/>
                <w:sz w:val="16"/>
              </w:rPr>
              <w:t>0.7699</w:t>
            </w:r>
          </w:p>
        </w:tc>
        <w:tc>
          <w:tcPr>
            <w:tcW w:w="800" w:type="dxa"/>
            <w:vAlign w:val="center"/>
          </w:tcPr>
          <w:p>
            <w:pPr>
              <w:jc w:val="left"/>
            </w:pPr>
            <w:r>
              <w:rPr>
                <w:rFonts w:ascii="Times New Roman" w:hAnsi="Times New Roman"/>
                <w:sz w:val="16"/>
              </w:rPr>
              <w:t>0.9092</w:t>
            </w:r>
          </w:p>
        </w:tc>
        <w:tc>
          <w:tcPr>
            <w:tcW w:w="800" w:type="dxa"/>
            <w:vAlign w:val="center"/>
          </w:tcPr>
          <w:p>
            <w:pPr>
              <w:jc w:val="left"/>
            </w:pPr>
            <w:r>
              <w:rPr>
                <w:rFonts w:ascii="Times New Roman" w:hAnsi="Times New Roman"/>
                <w:sz w:val="16"/>
              </w:rPr>
              <w:t>0.8344</w:t>
            </w:r>
          </w:p>
        </w:tc>
      </w:tr>
      <w:tr>
        <w:tc>
          <w:tcPr>
            <w:tcW w:w="1700" w:type="dxa"/>
            <w:vAlign w:val="center"/>
          </w:tcPr>
          <w:p>
            <w:pPr>
              <w:jc w:val="left"/>
            </w:pPr>
            <w:r>
              <w:rPr>
                <w:rFonts w:ascii="Times New Roman" w:hAnsi="Times New Roman"/>
                <w:sz w:val="16"/>
              </w:rPr>
              <w:t>Internal Twitter test</w:t>
            </w:r>
          </w:p>
        </w:tc>
        <w:tc>
          <w:tcPr>
            <w:tcW w:w="1900" w:type="dxa"/>
            <w:vAlign w:val="center"/>
          </w:tcPr>
          <w:p>
            <w:pPr>
              <w:jc w:val="left"/>
            </w:pPr>
            <w:r>
              <w:rPr>
                <w:rFonts w:ascii="Times New Roman" w:hAnsi="Times New Roman"/>
                <w:sz w:val="16"/>
              </w:rPr>
              <w:t>DistilBERT-base-uncased</w:t>
            </w:r>
          </w:p>
        </w:tc>
        <w:tc>
          <w:tcPr>
            <w:tcW w:w="800" w:type="dxa"/>
            <w:vAlign w:val="center"/>
          </w:tcPr>
          <w:p>
            <w:pPr>
              <w:jc w:val="left"/>
            </w:pPr>
            <w:r>
              <w:rPr>
                <w:rFonts w:ascii="Times New Roman" w:hAnsi="Times New Roman"/>
                <w:sz w:val="16"/>
              </w:rPr>
              <w:t>2386</w:t>
            </w:r>
          </w:p>
        </w:tc>
        <w:tc>
          <w:tcPr>
            <w:tcW w:w="800" w:type="dxa"/>
            <w:vAlign w:val="center"/>
          </w:tcPr>
          <w:p>
            <w:pPr>
              <w:jc w:val="left"/>
            </w:pPr>
            <w:r>
              <w:rPr>
                <w:rFonts w:ascii="Times New Roman" w:hAnsi="Times New Roman"/>
                <w:sz w:val="16"/>
              </w:rPr>
              <w:t>0.8583</w:t>
            </w:r>
          </w:p>
        </w:tc>
        <w:tc>
          <w:tcPr>
            <w:tcW w:w="850" w:type="dxa"/>
            <w:vAlign w:val="center"/>
          </w:tcPr>
          <w:p>
            <w:pPr>
              <w:jc w:val="left"/>
            </w:pPr>
            <w:r>
              <w:rPr>
                <w:rFonts w:ascii="Times New Roman" w:hAnsi="Times New Roman"/>
                <w:sz w:val="16"/>
              </w:rPr>
              <w:t>0.8136</w:t>
            </w:r>
          </w:p>
        </w:tc>
        <w:tc>
          <w:tcPr>
            <w:tcW w:w="850" w:type="dxa"/>
            <w:vAlign w:val="center"/>
          </w:tcPr>
          <w:p>
            <w:pPr>
              <w:jc w:val="left"/>
            </w:pPr>
            <w:r>
              <w:rPr>
                <w:rFonts w:ascii="Times New Roman" w:hAnsi="Times New Roman"/>
                <w:sz w:val="16"/>
              </w:rPr>
              <w:t>0.8308</w:t>
            </w:r>
          </w:p>
        </w:tc>
        <w:tc>
          <w:tcPr>
            <w:tcW w:w="900" w:type="dxa"/>
            <w:vAlign w:val="center"/>
          </w:tcPr>
          <w:p>
            <w:pPr>
              <w:jc w:val="left"/>
            </w:pPr>
            <w:r>
              <w:rPr>
                <w:rFonts w:ascii="Times New Roman" w:hAnsi="Times New Roman"/>
                <w:sz w:val="16"/>
              </w:rPr>
              <w:t>0.8218</w:t>
            </w:r>
          </w:p>
        </w:tc>
        <w:tc>
          <w:tcPr>
            <w:tcW w:w="800" w:type="dxa"/>
            <w:vAlign w:val="center"/>
          </w:tcPr>
          <w:p>
            <w:pPr>
              <w:jc w:val="left"/>
            </w:pPr>
            <w:r>
              <w:rPr>
                <w:rFonts w:ascii="Times New Roman" w:hAnsi="Times New Roman"/>
                <w:sz w:val="16"/>
              </w:rPr>
              <w:t>0.7633</w:t>
            </w:r>
          </w:p>
        </w:tc>
        <w:tc>
          <w:tcPr>
            <w:tcW w:w="800" w:type="dxa"/>
            <w:vAlign w:val="center"/>
          </w:tcPr>
          <w:p>
            <w:pPr>
              <w:jc w:val="left"/>
            </w:pPr>
            <w:r>
              <w:rPr>
                <w:rFonts w:ascii="Times New Roman" w:hAnsi="Times New Roman"/>
                <w:sz w:val="16"/>
              </w:rPr>
              <w:t>0.8989</w:t>
            </w:r>
          </w:p>
        </w:tc>
        <w:tc>
          <w:tcPr>
            <w:tcW w:w="800" w:type="dxa"/>
            <w:vAlign w:val="center"/>
          </w:tcPr>
          <w:p>
            <w:pPr>
              <w:jc w:val="left"/>
            </w:pPr>
            <w:r>
              <w:rPr>
                <w:rFonts w:ascii="Times New Roman" w:hAnsi="Times New Roman"/>
                <w:sz w:val="16"/>
              </w:rPr>
              <w:t>0.8032</w:t>
            </w:r>
          </w:p>
        </w:tc>
      </w:tr>
      <w:tr>
        <w:tc>
          <w:tcPr>
            <w:tcW w:w="1700" w:type="dxa"/>
            <w:vAlign w:val="center"/>
          </w:tcPr>
          <w:p>
            <w:pPr>
              <w:jc w:val="left"/>
            </w:pPr>
            <w:r>
              <w:rPr>
                <w:rFonts w:ascii="Times New Roman" w:hAnsi="Times New Roman"/>
                <w:sz w:val="16"/>
              </w:rPr>
              <w:t>Internal Twitter test</w:t>
            </w:r>
          </w:p>
        </w:tc>
        <w:tc>
          <w:tcPr>
            <w:tcW w:w="1900" w:type="dxa"/>
            <w:vAlign w:val="center"/>
          </w:tcPr>
          <w:p>
            <w:pPr>
              <w:jc w:val="left"/>
            </w:pPr>
            <w:r>
              <w:rPr>
                <w:rFonts w:ascii="Times New Roman" w:hAnsi="Times New Roman"/>
                <w:sz w:val="16"/>
              </w:rPr>
              <w:t>Original FinBERT</w:t>
            </w:r>
          </w:p>
        </w:tc>
        <w:tc>
          <w:tcPr>
            <w:tcW w:w="800" w:type="dxa"/>
            <w:vAlign w:val="center"/>
          </w:tcPr>
          <w:p>
            <w:pPr>
              <w:jc w:val="left"/>
            </w:pPr>
            <w:r>
              <w:rPr>
                <w:rFonts w:ascii="Times New Roman" w:hAnsi="Times New Roman"/>
                <w:sz w:val="16"/>
              </w:rPr>
              <w:t>2387</w:t>
            </w:r>
          </w:p>
        </w:tc>
        <w:tc>
          <w:tcPr>
            <w:tcW w:w="800" w:type="dxa"/>
            <w:vAlign w:val="center"/>
          </w:tcPr>
          <w:p>
            <w:pPr>
              <w:jc w:val="left"/>
            </w:pPr>
            <w:r>
              <w:rPr>
                <w:rFonts w:ascii="Times New Roman" w:hAnsi="Times New Roman"/>
                <w:sz w:val="16"/>
              </w:rPr>
              <w:t>0.7323</w:t>
            </w:r>
          </w:p>
        </w:tc>
        <w:tc>
          <w:tcPr>
            <w:tcW w:w="850" w:type="dxa"/>
            <w:vAlign w:val="center"/>
          </w:tcPr>
          <w:p>
            <w:pPr>
              <w:jc w:val="left"/>
            </w:pPr>
            <w:r>
              <w:rPr>
                <w:rFonts w:ascii="Times New Roman" w:hAnsi="Times New Roman"/>
                <w:sz w:val="16"/>
              </w:rPr>
              <w:t>0.6648</w:t>
            </w:r>
          </w:p>
        </w:tc>
        <w:tc>
          <w:tcPr>
            <w:tcW w:w="850" w:type="dxa"/>
            <w:vAlign w:val="center"/>
          </w:tcPr>
          <w:p>
            <w:pPr>
              <w:jc w:val="left"/>
            </w:pPr>
            <w:r>
              <w:rPr>
                <w:rFonts w:ascii="Times New Roman" w:hAnsi="Times New Roman"/>
                <w:sz w:val="16"/>
              </w:rPr>
              <w:t>0.7154</w:t>
            </w:r>
          </w:p>
        </w:tc>
        <w:tc>
          <w:tcPr>
            <w:tcW w:w="900" w:type="dxa"/>
            <w:vAlign w:val="center"/>
          </w:tcPr>
          <w:p>
            <w:pPr>
              <w:jc w:val="left"/>
            </w:pPr>
            <w:r>
              <w:rPr>
                <w:rFonts w:ascii="Times New Roman" w:hAnsi="Times New Roman"/>
                <w:sz w:val="16"/>
              </w:rPr>
              <w:t>0.6794</w:t>
            </w:r>
          </w:p>
        </w:tc>
        <w:tc>
          <w:tcPr>
            <w:tcW w:w="800" w:type="dxa"/>
            <w:vAlign w:val="center"/>
          </w:tcPr>
          <w:p>
            <w:pPr>
              <w:jc w:val="left"/>
            </w:pPr>
            <w:r>
              <w:rPr>
                <w:rFonts w:ascii="Times New Roman" w:hAnsi="Times New Roman"/>
                <w:sz w:val="16"/>
              </w:rPr>
              <w:t>0.6044</w:t>
            </w:r>
          </w:p>
        </w:tc>
        <w:tc>
          <w:tcPr>
            <w:tcW w:w="800" w:type="dxa"/>
            <w:vAlign w:val="center"/>
          </w:tcPr>
          <w:p>
            <w:pPr>
              <w:jc w:val="left"/>
            </w:pPr>
            <w:r>
              <w:rPr>
                <w:rFonts w:ascii="Times New Roman" w:hAnsi="Times New Roman"/>
                <w:sz w:val="16"/>
              </w:rPr>
              <w:t>0.8060</w:t>
            </w:r>
          </w:p>
        </w:tc>
        <w:tc>
          <w:tcPr>
            <w:tcW w:w="800" w:type="dxa"/>
            <w:vAlign w:val="center"/>
          </w:tcPr>
          <w:p>
            <w:pPr>
              <w:jc w:val="left"/>
            </w:pPr>
            <w:r>
              <w:rPr>
                <w:rFonts w:ascii="Times New Roman" w:hAnsi="Times New Roman"/>
                <w:sz w:val="16"/>
              </w:rPr>
              <w:t>0.6279</w:t>
            </w:r>
          </w:p>
        </w:tc>
      </w:tr>
      <w:tr>
        <w:tc>
          <w:tcPr>
            <w:tcW w:w="1700" w:type="dxa"/>
            <w:vAlign w:val="center"/>
          </w:tcPr>
          <w:p>
            <w:pPr>
              <w:jc w:val="left"/>
            </w:pPr>
            <w:r>
              <w:rPr>
                <w:rFonts w:ascii="Times New Roman" w:hAnsi="Times New Roman"/>
                <w:sz w:val="16"/>
              </w:rPr>
              <w:t>S&amp;P 500 external test</w:t>
            </w:r>
          </w:p>
        </w:tc>
        <w:tc>
          <w:tcPr>
            <w:tcW w:w="1900" w:type="dxa"/>
            <w:vAlign w:val="center"/>
          </w:tcPr>
          <w:p>
            <w:pPr>
              <w:jc w:val="left"/>
            </w:pPr>
            <w:r>
              <w:rPr>
                <w:rFonts w:ascii="Times New Roman" w:hAnsi="Times New Roman"/>
                <w:sz w:val="16"/>
              </w:rPr>
              <w:t>RoBERTa-base</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0.8132</w:t>
            </w:r>
          </w:p>
        </w:tc>
        <w:tc>
          <w:tcPr>
            <w:tcW w:w="850" w:type="dxa"/>
            <w:vAlign w:val="center"/>
          </w:tcPr>
          <w:p>
            <w:pPr>
              <w:jc w:val="left"/>
            </w:pPr>
            <w:r>
              <w:rPr>
                <w:rFonts w:ascii="Times New Roman" w:hAnsi="Times New Roman"/>
                <w:sz w:val="16"/>
              </w:rPr>
              <w:t>0.8249</w:t>
            </w:r>
          </w:p>
        </w:tc>
        <w:tc>
          <w:tcPr>
            <w:tcW w:w="850" w:type="dxa"/>
            <w:vAlign w:val="center"/>
          </w:tcPr>
          <w:p>
            <w:pPr>
              <w:jc w:val="left"/>
            </w:pPr>
            <w:r>
              <w:rPr>
                <w:rFonts w:ascii="Times New Roman" w:hAnsi="Times New Roman"/>
                <w:sz w:val="16"/>
              </w:rPr>
              <w:t>0.8138</w:t>
            </w:r>
          </w:p>
        </w:tc>
        <w:tc>
          <w:tcPr>
            <w:tcW w:w="900" w:type="dxa"/>
            <w:vAlign w:val="center"/>
          </w:tcPr>
          <w:p>
            <w:pPr>
              <w:jc w:val="left"/>
            </w:pPr>
            <w:r>
              <w:rPr>
                <w:rFonts w:ascii="Times New Roman" w:hAnsi="Times New Roman"/>
                <w:sz w:val="16"/>
              </w:rPr>
              <w:t>0.8145</w:t>
            </w:r>
          </w:p>
        </w:tc>
        <w:tc>
          <w:tcPr>
            <w:tcW w:w="800" w:type="dxa"/>
            <w:vAlign w:val="center"/>
          </w:tcPr>
          <w:p>
            <w:pPr>
              <w:jc w:val="left"/>
            </w:pPr>
            <w:r>
              <w:rPr>
                <w:rFonts w:ascii="Times New Roman" w:hAnsi="Times New Roman"/>
                <w:sz w:val="16"/>
              </w:rPr>
              <w:t>0.8331</w:t>
            </w:r>
          </w:p>
        </w:tc>
        <w:tc>
          <w:tcPr>
            <w:tcW w:w="800" w:type="dxa"/>
            <w:vAlign w:val="center"/>
          </w:tcPr>
          <w:p>
            <w:pPr>
              <w:jc w:val="left"/>
            </w:pPr>
            <w:r>
              <w:rPr>
                <w:rFonts w:ascii="Times New Roman" w:hAnsi="Times New Roman"/>
                <w:sz w:val="16"/>
              </w:rPr>
              <w:t>0.7768</w:t>
            </w:r>
          </w:p>
        </w:tc>
        <w:tc>
          <w:tcPr>
            <w:tcW w:w="800" w:type="dxa"/>
            <w:vAlign w:val="center"/>
          </w:tcPr>
          <w:p>
            <w:pPr>
              <w:jc w:val="left"/>
            </w:pPr>
            <w:r>
              <w:rPr>
                <w:rFonts w:ascii="Times New Roman" w:hAnsi="Times New Roman"/>
                <w:sz w:val="16"/>
              </w:rPr>
              <w:t>0.8338</w:t>
            </w:r>
          </w:p>
        </w:tc>
      </w:tr>
      <w:tr>
        <w:tc>
          <w:tcPr>
            <w:tcW w:w="1700" w:type="dxa"/>
            <w:vAlign w:val="center"/>
          </w:tcPr>
          <w:p>
            <w:pPr>
              <w:jc w:val="left"/>
            </w:pPr>
            <w:r>
              <w:rPr>
                <w:rFonts w:ascii="Times New Roman" w:hAnsi="Times New Roman"/>
                <w:sz w:val="16"/>
              </w:rPr>
              <w:t>S&amp;P 500 external test</w:t>
            </w:r>
          </w:p>
        </w:tc>
        <w:tc>
          <w:tcPr>
            <w:tcW w:w="1900" w:type="dxa"/>
            <w:vAlign w:val="center"/>
          </w:tcPr>
          <w:p>
            <w:pPr>
              <w:jc w:val="left"/>
            </w:pPr>
            <w:r>
              <w:rPr>
                <w:rFonts w:ascii="Times New Roman" w:hAnsi="Times New Roman"/>
                <w:sz w:val="16"/>
              </w:rPr>
              <w:t>BERT-base-uncased</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0.7557</w:t>
            </w:r>
          </w:p>
        </w:tc>
        <w:tc>
          <w:tcPr>
            <w:tcW w:w="850" w:type="dxa"/>
            <w:vAlign w:val="center"/>
          </w:tcPr>
          <w:p>
            <w:pPr>
              <w:jc w:val="left"/>
            </w:pPr>
            <w:r>
              <w:rPr>
                <w:rFonts w:ascii="Times New Roman" w:hAnsi="Times New Roman"/>
                <w:sz w:val="16"/>
              </w:rPr>
              <w:t>0.7714</w:t>
            </w:r>
          </w:p>
        </w:tc>
        <w:tc>
          <w:tcPr>
            <w:tcW w:w="850" w:type="dxa"/>
            <w:vAlign w:val="center"/>
          </w:tcPr>
          <w:p>
            <w:pPr>
              <w:jc w:val="left"/>
            </w:pPr>
            <w:r>
              <w:rPr>
                <w:rFonts w:ascii="Times New Roman" w:hAnsi="Times New Roman"/>
                <w:sz w:val="16"/>
              </w:rPr>
              <w:t>0.7554</w:t>
            </w:r>
          </w:p>
        </w:tc>
        <w:tc>
          <w:tcPr>
            <w:tcW w:w="900" w:type="dxa"/>
            <w:vAlign w:val="center"/>
          </w:tcPr>
          <w:p>
            <w:pPr>
              <w:jc w:val="left"/>
            </w:pPr>
            <w:r>
              <w:rPr>
                <w:rFonts w:ascii="Times New Roman" w:hAnsi="Times New Roman"/>
                <w:sz w:val="16"/>
              </w:rPr>
              <w:t>0.7549</w:t>
            </w:r>
          </w:p>
        </w:tc>
        <w:tc>
          <w:tcPr>
            <w:tcW w:w="800" w:type="dxa"/>
            <w:vAlign w:val="center"/>
          </w:tcPr>
          <w:p>
            <w:pPr>
              <w:jc w:val="left"/>
            </w:pPr>
            <w:r>
              <w:rPr>
                <w:rFonts w:ascii="Times New Roman" w:hAnsi="Times New Roman"/>
                <w:sz w:val="16"/>
              </w:rPr>
              <w:t>0.7448</w:t>
            </w:r>
          </w:p>
        </w:tc>
        <w:tc>
          <w:tcPr>
            <w:tcW w:w="800" w:type="dxa"/>
            <w:vAlign w:val="center"/>
          </w:tcPr>
          <w:p>
            <w:pPr>
              <w:jc w:val="left"/>
            </w:pPr>
            <w:r>
              <w:rPr>
                <w:rFonts w:ascii="Times New Roman" w:hAnsi="Times New Roman"/>
                <w:sz w:val="16"/>
              </w:rPr>
              <w:t>0.7458</w:t>
            </w:r>
          </w:p>
        </w:tc>
        <w:tc>
          <w:tcPr>
            <w:tcW w:w="800" w:type="dxa"/>
            <w:vAlign w:val="center"/>
          </w:tcPr>
          <w:p>
            <w:pPr>
              <w:jc w:val="left"/>
            </w:pPr>
            <w:r>
              <w:rPr>
                <w:rFonts w:ascii="Times New Roman" w:hAnsi="Times New Roman"/>
                <w:sz w:val="16"/>
              </w:rPr>
              <w:t>0.7741</w:t>
            </w:r>
          </w:p>
        </w:tc>
      </w:tr>
      <w:tr>
        <w:tc>
          <w:tcPr>
            <w:tcW w:w="1700" w:type="dxa"/>
            <w:vAlign w:val="center"/>
          </w:tcPr>
          <w:p>
            <w:pPr>
              <w:jc w:val="left"/>
            </w:pPr>
            <w:r>
              <w:rPr>
                <w:rFonts w:ascii="Times New Roman" w:hAnsi="Times New Roman"/>
                <w:sz w:val="16"/>
              </w:rPr>
              <w:t>S&amp;P 500 external test</w:t>
            </w:r>
          </w:p>
        </w:tc>
        <w:tc>
          <w:tcPr>
            <w:tcW w:w="1900" w:type="dxa"/>
            <w:vAlign w:val="center"/>
          </w:tcPr>
          <w:p>
            <w:pPr>
              <w:jc w:val="left"/>
            </w:pPr>
            <w:r>
              <w:rPr>
                <w:rFonts w:ascii="Times New Roman" w:hAnsi="Times New Roman"/>
                <w:sz w:val="16"/>
              </w:rPr>
              <w:t>Original FinBERT</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0.7519</w:t>
            </w:r>
          </w:p>
        </w:tc>
        <w:tc>
          <w:tcPr>
            <w:tcW w:w="850" w:type="dxa"/>
            <w:vAlign w:val="center"/>
          </w:tcPr>
          <w:p>
            <w:pPr>
              <w:jc w:val="left"/>
            </w:pPr>
            <w:r>
              <w:rPr>
                <w:rFonts w:ascii="Times New Roman" w:hAnsi="Times New Roman"/>
                <w:sz w:val="16"/>
              </w:rPr>
              <w:t>0.7531</w:t>
            </w:r>
          </w:p>
        </w:tc>
        <w:tc>
          <w:tcPr>
            <w:tcW w:w="850" w:type="dxa"/>
            <w:vAlign w:val="center"/>
          </w:tcPr>
          <w:p>
            <w:pPr>
              <w:jc w:val="left"/>
            </w:pPr>
            <w:r>
              <w:rPr>
                <w:rFonts w:ascii="Times New Roman" w:hAnsi="Times New Roman"/>
                <w:sz w:val="16"/>
              </w:rPr>
              <w:t>0.7567</w:t>
            </w:r>
          </w:p>
        </w:tc>
        <w:tc>
          <w:tcPr>
            <w:tcW w:w="900" w:type="dxa"/>
            <w:vAlign w:val="center"/>
          </w:tcPr>
          <w:p>
            <w:pPr>
              <w:jc w:val="left"/>
            </w:pPr>
            <w:r>
              <w:rPr>
                <w:rFonts w:ascii="Times New Roman" w:hAnsi="Times New Roman"/>
                <w:sz w:val="16"/>
              </w:rPr>
              <w:t>0.7521</w:t>
            </w:r>
          </w:p>
        </w:tc>
        <w:tc>
          <w:tcPr>
            <w:tcW w:w="800" w:type="dxa"/>
            <w:vAlign w:val="center"/>
          </w:tcPr>
          <w:p>
            <w:pPr>
              <w:jc w:val="left"/>
            </w:pPr>
            <w:r>
              <w:rPr>
                <w:rFonts w:ascii="Times New Roman" w:hAnsi="Times New Roman"/>
                <w:sz w:val="16"/>
              </w:rPr>
              <w:t>0.7663</w:t>
            </w:r>
          </w:p>
        </w:tc>
        <w:tc>
          <w:tcPr>
            <w:tcW w:w="800" w:type="dxa"/>
            <w:vAlign w:val="center"/>
          </w:tcPr>
          <w:p>
            <w:pPr>
              <w:jc w:val="left"/>
            </w:pPr>
            <w:r>
              <w:rPr>
                <w:rFonts w:ascii="Times New Roman" w:hAnsi="Times New Roman"/>
                <w:sz w:val="16"/>
              </w:rPr>
              <w:t>0.7482</w:t>
            </w:r>
          </w:p>
        </w:tc>
        <w:tc>
          <w:tcPr>
            <w:tcW w:w="800" w:type="dxa"/>
            <w:vAlign w:val="center"/>
          </w:tcPr>
          <w:p>
            <w:pPr>
              <w:jc w:val="left"/>
            </w:pPr>
            <w:r>
              <w:rPr>
                <w:rFonts w:ascii="Times New Roman" w:hAnsi="Times New Roman"/>
                <w:sz w:val="16"/>
              </w:rPr>
              <w:t>0.7418</w:t>
            </w:r>
          </w:p>
        </w:tc>
      </w:tr>
      <w:tr>
        <w:tc>
          <w:tcPr>
            <w:tcW w:w="1700" w:type="dxa"/>
            <w:vAlign w:val="center"/>
          </w:tcPr>
          <w:p>
            <w:pPr>
              <w:jc w:val="left"/>
            </w:pPr>
            <w:r>
              <w:rPr>
                <w:rFonts w:ascii="Times New Roman" w:hAnsi="Times New Roman"/>
                <w:sz w:val="16"/>
              </w:rPr>
              <w:t>S&amp;P 500 external test</w:t>
            </w:r>
          </w:p>
        </w:tc>
        <w:tc>
          <w:tcPr>
            <w:tcW w:w="1900" w:type="dxa"/>
            <w:vAlign w:val="center"/>
          </w:tcPr>
          <w:p>
            <w:pPr>
              <w:jc w:val="left"/>
            </w:pPr>
            <w:r>
              <w:rPr>
                <w:rFonts w:ascii="Times New Roman" w:hAnsi="Times New Roman"/>
                <w:sz w:val="16"/>
              </w:rPr>
              <w:t>DistilBERT-base-uncased</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0.7519</w:t>
            </w:r>
          </w:p>
        </w:tc>
        <w:tc>
          <w:tcPr>
            <w:tcW w:w="850" w:type="dxa"/>
            <w:vAlign w:val="center"/>
          </w:tcPr>
          <w:p>
            <w:pPr>
              <w:jc w:val="left"/>
            </w:pPr>
            <w:r>
              <w:rPr>
                <w:rFonts w:ascii="Times New Roman" w:hAnsi="Times New Roman"/>
                <w:sz w:val="16"/>
              </w:rPr>
              <w:t>0.7669</w:t>
            </w:r>
          </w:p>
        </w:tc>
        <w:tc>
          <w:tcPr>
            <w:tcW w:w="850" w:type="dxa"/>
            <w:vAlign w:val="center"/>
          </w:tcPr>
          <w:p>
            <w:pPr>
              <w:jc w:val="left"/>
            </w:pPr>
            <w:r>
              <w:rPr>
                <w:rFonts w:ascii="Times New Roman" w:hAnsi="Times New Roman"/>
                <w:sz w:val="16"/>
              </w:rPr>
              <w:t>0.7510</w:t>
            </w:r>
          </w:p>
        </w:tc>
        <w:tc>
          <w:tcPr>
            <w:tcW w:w="900" w:type="dxa"/>
            <w:vAlign w:val="center"/>
          </w:tcPr>
          <w:p>
            <w:pPr>
              <w:jc w:val="left"/>
            </w:pPr>
            <w:r>
              <w:rPr>
                <w:rFonts w:ascii="Times New Roman" w:hAnsi="Times New Roman"/>
                <w:sz w:val="16"/>
              </w:rPr>
              <w:t>0.7510</w:t>
            </w:r>
          </w:p>
        </w:tc>
        <w:tc>
          <w:tcPr>
            <w:tcW w:w="800" w:type="dxa"/>
            <w:vAlign w:val="center"/>
          </w:tcPr>
          <w:p>
            <w:pPr>
              <w:jc w:val="left"/>
            </w:pPr>
            <w:r>
              <w:rPr>
                <w:rFonts w:ascii="Times New Roman" w:hAnsi="Times New Roman"/>
                <w:sz w:val="16"/>
              </w:rPr>
              <w:t>0.7392</w:t>
            </w:r>
          </w:p>
        </w:tc>
        <w:tc>
          <w:tcPr>
            <w:tcW w:w="800" w:type="dxa"/>
            <w:vAlign w:val="center"/>
          </w:tcPr>
          <w:p>
            <w:pPr>
              <w:jc w:val="left"/>
            </w:pPr>
            <w:r>
              <w:rPr>
                <w:rFonts w:ascii="Times New Roman" w:hAnsi="Times New Roman"/>
                <w:sz w:val="16"/>
              </w:rPr>
              <w:t>0.7378</w:t>
            </w:r>
          </w:p>
        </w:tc>
        <w:tc>
          <w:tcPr>
            <w:tcW w:w="800" w:type="dxa"/>
            <w:vAlign w:val="center"/>
          </w:tcPr>
          <w:p>
            <w:pPr>
              <w:jc w:val="left"/>
            </w:pPr>
            <w:r>
              <w:rPr>
                <w:rFonts w:ascii="Times New Roman" w:hAnsi="Times New Roman"/>
                <w:sz w:val="16"/>
              </w:rPr>
              <w:t>0.7759</w:t>
            </w:r>
          </w:p>
        </w:tc>
      </w:tr>
      <w:tr>
        <w:tc>
          <w:tcPr>
            <w:tcW w:w="1700" w:type="dxa"/>
            <w:vAlign w:val="center"/>
          </w:tcPr>
          <w:p>
            <w:pPr>
              <w:jc w:val="left"/>
            </w:pPr>
            <w:r>
              <w:rPr>
                <w:rFonts w:ascii="Times New Roman" w:hAnsi="Times New Roman"/>
                <w:sz w:val="16"/>
              </w:rPr>
              <w:t>Synthetic financial news</w:t>
            </w:r>
          </w:p>
        </w:tc>
        <w:tc>
          <w:tcPr>
            <w:tcW w:w="1900" w:type="dxa"/>
            <w:vAlign w:val="center"/>
          </w:tcPr>
          <w:p>
            <w:pPr>
              <w:jc w:val="left"/>
            </w:pPr>
            <w:r>
              <w:rPr>
                <w:rFonts w:ascii="Times New Roman" w:hAnsi="Times New Roman"/>
                <w:sz w:val="16"/>
              </w:rPr>
              <w:t>RoBERTa-base</w:t>
            </w:r>
          </w:p>
        </w:tc>
        <w:tc>
          <w:tcPr>
            <w:tcW w:w="800" w:type="dxa"/>
            <w:vAlign w:val="center"/>
          </w:tcPr>
          <w:p>
            <w:pPr>
              <w:jc w:val="left"/>
            </w:pPr>
            <w:r>
              <w:rPr>
                <w:rFonts w:ascii="Times New Roman" w:hAnsi="Times New Roman"/>
                <w:sz w:val="16"/>
              </w:rPr>
              <w:t>3000</w:t>
            </w:r>
          </w:p>
        </w:tc>
        <w:tc>
          <w:tcPr>
            <w:tcW w:w="800" w:type="dxa"/>
            <w:vAlign w:val="center"/>
          </w:tcPr>
          <w:p>
            <w:pPr>
              <w:jc w:val="left"/>
            </w:pPr>
            <w:r>
              <w:rPr>
                <w:rFonts w:ascii="Times New Roman" w:hAnsi="Times New Roman"/>
                <w:sz w:val="16"/>
              </w:rPr>
              <w:t>0.9957</w:t>
            </w:r>
          </w:p>
        </w:tc>
        <w:tc>
          <w:tcPr>
            <w:tcW w:w="850" w:type="dxa"/>
            <w:vAlign w:val="center"/>
          </w:tcPr>
          <w:p>
            <w:pPr>
              <w:jc w:val="left"/>
            </w:pPr>
            <w:r>
              <w:rPr>
                <w:rFonts w:ascii="Times New Roman" w:hAnsi="Times New Roman"/>
                <w:sz w:val="16"/>
              </w:rPr>
              <w:t>0.9957</w:t>
            </w:r>
          </w:p>
        </w:tc>
        <w:tc>
          <w:tcPr>
            <w:tcW w:w="850" w:type="dxa"/>
            <w:vAlign w:val="center"/>
          </w:tcPr>
          <w:p>
            <w:pPr>
              <w:jc w:val="left"/>
            </w:pPr>
            <w:r>
              <w:rPr>
                <w:rFonts w:ascii="Times New Roman" w:hAnsi="Times New Roman"/>
                <w:sz w:val="16"/>
              </w:rPr>
              <w:t>0.9957</w:t>
            </w:r>
          </w:p>
        </w:tc>
        <w:tc>
          <w:tcPr>
            <w:tcW w:w="900" w:type="dxa"/>
            <w:vAlign w:val="center"/>
          </w:tcPr>
          <w:p>
            <w:pPr>
              <w:jc w:val="left"/>
            </w:pPr>
            <w:r>
              <w:rPr>
                <w:rFonts w:ascii="Times New Roman" w:hAnsi="Times New Roman"/>
                <w:sz w:val="16"/>
              </w:rPr>
              <w:t>0.9957</w:t>
            </w:r>
          </w:p>
        </w:tc>
        <w:tc>
          <w:tcPr>
            <w:tcW w:w="800" w:type="dxa"/>
            <w:vAlign w:val="center"/>
          </w:tcPr>
          <w:p>
            <w:pPr>
              <w:jc w:val="left"/>
            </w:pPr>
            <w:r>
              <w:rPr>
                <w:rFonts w:ascii="Times New Roman" w:hAnsi="Times New Roman"/>
                <w:sz w:val="16"/>
              </w:rPr>
              <w:t>0.9945</w:t>
            </w:r>
          </w:p>
        </w:tc>
        <w:tc>
          <w:tcPr>
            <w:tcW w:w="800" w:type="dxa"/>
            <w:vAlign w:val="center"/>
          </w:tcPr>
          <w:p>
            <w:pPr>
              <w:jc w:val="left"/>
            </w:pPr>
            <w:r>
              <w:rPr>
                <w:rFonts w:ascii="Times New Roman" w:hAnsi="Times New Roman"/>
                <w:sz w:val="16"/>
              </w:rPr>
              <w:t>0.9970</w:t>
            </w:r>
          </w:p>
        </w:tc>
        <w:tc>
          <w:tcPr>
            <w:tcW w:w="800" w:type="dxa"/>
            <w:vAlign w:val="center"/>
          </w:tcPr>
          <w:p>
            <w:pPr>
              <w:jc w:val="left"/>
            </w:pPr>
            <w:r>
              <w:rPr>
                <w:rFonts w:ascii="Times New Roman" w:hAnsi="Times New Roman"/>
                <w:sz w:val="16"/>
              </w:rPr>
              <w:t>0.9955</w:t>
            </w:r>
          </w:p>
        </w:tc>
      </w:tr>
      <w:tr>
        <w:tc>
          <w:tcPr>
            <w:tcW w:w="1700" w:type="dxa"/>
            <w:vAlign w:val="center"/>
          </w:tcPr>
          <w:p>
            <w:pPr>
              <w:jc w:val="left"/>
            </w:pPr>
            <w:r>
              <w:rPr>
                <w:rFonts w:ascii="Times New Roman" w:hAnsi="Times New Roman"/>
                <w:sz w:val="16"/>
              </w:rPr>
              <w:t>Synthetic financial news</w:t>
            </w:r>
          </w:p>
        </w:tc>
        <w:tc>
          <w:tcPr>
            <w:tcW w:w="1900" w:type="dxa"/>
            <w:vAlign w:val="center"/>
          </w:tcPr>
          <w:p>
            <w:pPr>
              <w:jc w:val="left"/>
            </w:pPr>
            <w:r>
              <w:rPr>
                <w:rFonts w:ascii="Times New Roman" w:hAnsi="Times New Roman"/>
                <w:sz w:val="16"/>
              </w:rPr>
              <w:t>BERT-base-uncased</w:t>
            </w:r>
          </w:p>
        </w:tc>
        <w:tc>
          <w:tcPr>
            <w:tcW w:w="800" w:type="dxa"/>
            <w:vAlign w:val="center"/>
          </w:tcPr>
          <w:p>
            <w:pPr>
              <w:jc w:val="left"/>
            </w:pPr>
            <w:r>
              <w:rPr>
                <w:rFonts w:ascii="Times New Roman" w:hAnsi="Times New Roman"/>
                <w:sz w:val="16"/>
              </w:rPr>
              <w:t>3000</w:t>
            </w:r>
          </w:p>
        </w:tc>
        <w:tc>
          <w:tcPr>
            <w:tcW w:w="800" w:type="dxa"/>
            <w:vAlign w:val="center"/>
          </w:tcPr>
          <w:p>
            <w:pPr>
              <w:jc w:val="left"/>
            </w:pPr>
            <w:r>
              <w:rPr>
                <w:rFonts w:ascii="Times New Roman" w:hAnsi="Times New Roman"/>
                <w:sz w:val="16"/>
              </w:rPr>
              <w:t>0.9743</w:t>
            </w:r>
          </w:p>
        </w:tc>
        <w:tc>
          <w:tcPr>
            <w:tcW w:w="850" w:type="dxa"/>
            <w:vAlign w:val="center"/>
          </w:tcPr>
          <w:p>
            <w:pPr>
              <w:jc w:val="left"/>
            </w:pPr>
            <w:r>
              <w:rPr>
                <w:rFonts w:ascii="Times New Roman" w:hAnsi="Times New Roman"/>
                <w:sz w:val="16"/>
              </w:rPr>
              <w:t>0.9748</w:t>
            </w:r>
          </w:p>
        </w:tc>
        <w:tc>
          <w:tcPr>
            <w:tcW w:w="850" w:type="dxa"/>
            <w:vAlign w:val="center"/>
          </w:tcPr>
          <w:p>
            <w:pPr>
              <w:jc w:val="left"/>
            </w:pPr>
            <w:r>
              <w:rPr>
                <w:rFonts w:ascii="Times New Roman" w:hAnsi="Times New Roman"/>
                <w:sz w:val="16"/>
              </w:rPr>
              <w:t>0.9743</w:t>
            </w:r>
          </w:p>
        </w:tc>
        <w:tc>
          <w:tcPr>
            <w:tcW w:w="900" w:type="dxa"/>
            <w:vAlign w:val="center"/>
          </w:tcPr>
          <w:p>
            <w:pPr>
              <w:jc w:val="left"/>
            </w:pPr>
            <w:r>
              <w:rPr>
                <w:rFonts w:ascii="Times New Roman" w:hAnsi="Times New Roman"/>
                <w:sz w:val="16"/>
              </w:rPr>
              <w:t>0.9742</w:t>
            </w:r>
          </w:p>
        </w:tc>
        <w:tc>
          <w:tcPr>
            <w:tcW w:w="800" w:type="dxa"/>
            <w:vAlign w:val="center"/>
          </w:tcPr>
          <w:p>
            <w:pPr>
              <w:jc w:val="left"/>
            </w:pPr>
            <w:r>
              <w:rPr>
                <w:rFonts w:ascii="Times New Roman" w:hAnsi="Times New Roman"/>
                <w:sz w:val="16"/>
              </w:rPr>
              <w:t>0.9646</w:t>
            </w:r>
          </w:p>
        </w:tc>
        <w:tc>
          <w:tcPr>
            <w:tcW w:w="800" w:type="dxa"/>
            <w:vAlign w:val="center"/>
          </w:tcPr>
          <w:p>
            <w:pPr>
              <w:jc w:val="left"/>
            </w:pPr>
            <w:r>
              <w:rPr>
                <w:rFonts w:ascii="Times New Roman" w:hAnsi="Times New Roman"/>
                <w:sz w:val="16"/>
              </w:rPr>
              <w:t>0.9779</w:t>
            </w:r>
          </w:p>
        </w:tc>
        <w:tc>
          <w:tcPr>
            <w:tcW w:w="800" w:type="dxa"/>
            <w:vAlign w:val="center"/>
          </w:tcPr>
          <w:p>
            <w:pPr>
              <w:jc w:val="left"/>
            </w:pPr>
            <w:r>
              <w:rPr>
                <w:rFonts w:ascii="Times New Roman" w:hAnsi="Times New Roman"/>
                <w:sz w:val="16"/>
              </w:rPr>
              <w:t>0.9802</w:t>
            </w:r>
          </w:p>
        </w:tc>
      </w:tr>
      <w:tr>
        <w:tc>
          <w:tcPr>
            <w:tcW w:w="1700" w:type="dxa"/>
            <w:vAlign w:val="center"/>
          </w:tcPr>
          <w:p>
            <w:pPr>
              <w:jc w:val="left"/>
            </w:pPr>
            <w:r>
              <w:rPr>
                <w:rFonts w:ascii="Times New Roman" w:hAnsi="Times New Roman"/>
                <w:sz w:val="16"/>
              </w:rPr>
              <w:t>Synthetic financial news</w:t>
            </w:r>
          </w:p>
        </w:tc>
        <w:tc>
          <w:tcPr>
            <w:tcW w:w="1900" w:type="dxa"/>
            <w:vAlign w:val="center"/>
          </w:tcPr>
          <w:p>
            <w:pPr>
              <w:jc w:val="left"/>
            </w:pPr>
            <w:r>
              <w:rPr>
                <w:rFonts w:ascii="Times New Roman" w:hAnsi="Times New Roman"/>
                <w:sz w:val="16"/>
              </w:rPr>
              <w:t>DistilBERT-base-uncased</w:t>
            </w:r>
          </w:p>
        </w:tc>
        <w:tc>
          <w:tcPr>
            <w:tcW w:w="800" w:type="dxa"/>
            <w:vAlign w:val="center"/>
          </w:tcPr>
          <w:p>
            <w:pPr>
              <w:jc w:val="left"/>
            </w:pPr>
            <w:r>
              <w:rPr>
                <w:rFonts w:ascii="Times New Roman" w:hAnsi="Times New Roman"/>
                <w:sz w:val="16"/>
              </w:rPr>
              <w:t>3000</w:t>
            </w:r>
          </w:p>
        </w:tc>
        <w:tc>
          <w:tcPr>
            <w:tcW w:w="800" w:type="dxa"/>
            <w:vAlign w:val="center"/>
          </w:tcPr>
          <w:p>
            <w:pPr>
              <w:jc w:val="left"/>
            </w:pPr>
            <w:r>
              <w:rPr>
                <w:rFonts w:ascii="Times New Roman" w:hAnsi="Times New Roman"/>
                <w:sz w:val="16"/>
              </w:rPr>
              <w:t>0.9583</w:t>
            </w:r>
          </w:p>
        </w:tc>
        <w:tc>
          <w:tcPr>
            <w:tcW w:w="850" w:type="dxa"/>
            <w:vAlign w:val="center"/>
          </w:tcPr>
          <w:p>
            <w:pPr>
              <w:jc w:val="left"/>
            </w:pPr>
            <w:r>
              <w:rPr>
                <w:rFonts w:ascii="Times New Roman" w:hAnsi="Times New Roman"/>
                <w:sz w:val="16"/>
              </w:rPr>
              <w:t>0.9591</w:t>
            </w:r>
          </w:p>
        </w:tc>
        <w:tc>
          <w:tcPr>
            <w:tcW w:w="850" w:type="dxa"/>
            <w:vAlign w:val="center"/>
          </w:tcPr>
          <w:p>
            <w:pPr>
              <w:jc w:val="left"/>
            </w:pPr>
            <w:r>
              <w:rPr>
                <w:rFonts w:ascii="Times New Roman" w:hAnsi="Times New Roman"/>
                <w:sz w:val="16"/>
              </w:rPr>
              <w:t>0.9583</w:t>
            </w:r>
          </w:p>
        </w:tc>
        <w:tc>
          <w:tcPr>
            <w:tcW w:w="900" w:type="dxa"/>
            <w:vAlign w:val="center"/>
          </w:tcPr>
          <w:p>
            <w:pPr>
              <w:jc w:val="left"/>
            </w:pPr>
            <w:r>
              <w:rPr>
                <w:rFonts w:ascii="Times New Roman" w:hAnsi="Times New Roman"/>
                <w:sz w:val="16"/>
              </w:rPr>
              <w:t>0.9581</w:t>
            </w:r>
          </w:p>
        </w:tc>
        <w:tc>
          <w:tcPr>
            <w:tcW w:w="800" w:type="dxa"/>
            <w:vAlign w:val="center"/>
          </w:tcPr>
          <w:p>
            <w:pPr>
              <w:jc w:val="left"/>
            </w:pPr>
            <w:r>
              <w:rPr>
                <w:rFonts w:ascii="Times New Roman" w:hAnsi="Times New Roman"/>
                <w:sz w:val="16"/>
              </w:rPr>
              <w:t>0.9450</w:t>
            </w:r>
          </w:p>
        </w:tc>
        <w:tc>
          <w:tcPr>
            <w:tcW w:w="800" w:type="dxa"/>
            <w:vAlign w:val="center"/>
          </w:tcPr>
          <w:p>
            <w:pPr>
              <w:jc w:val="left"/>
            </w:pPr>
            <w:r>
              <w:rPr>
                <w:rFonts w:ascii="Times New Roman" w:hAnsi="Times New Roman"/>
                <w:sz w:val="16"/>
              </w:rPr>
              <w:t>0.9710</w:t>
            </w:r>
          </w:p>
        </w:tc>
        <w:tc>
          <w:tcPr>
            <w:tcW w:w="800" w:type="dxa"/>
            <w:vAlign w:val="center"/>
          </w:tcPr>
          <w:p>
            <w:pPr>
              <w:jc w:val="left"/>
            </w:pPr>
            <w:r>
              <w:rPr>
                <w:rFonts w:ascii="Times New Roman" w:hAnsi="Times New Roman"/>
                <w:sz w:val="16"/>
              </w:rPr>
              <w:t>0.9582</w:t>
            </w:r>
          </w:p>
        </w:tc>
      </w:tr>
      <w:tr>
        <w:tc>
          <w:tcPr>
            <w:tcW w:w="1700" w:type="dxa"/>
            <w:vAlign w:val="center"/>
          </w:tcPr>
          <w:p>
            <w:pPr>
              <w:jc w:val="left"/>
            </w:pPr>
            <w:r>
              <w:rPr>
                <w:rFonts w:ascii="Times New Roman" w:hAnsi="Times New Roman"/>
                <w:sz w:val="16"/>
              </w:rPr>
              <w:t>Synthetic financial news</w:t>
            </w:r>
          </w:p>
        </w:tc>
        <w:tc>
          <w:tcPr>
            <w:tcW w:w="1900" w:type="dxa"/>
            <w:vAlign w:val="center"/>
          </w:tcPr>
          <w:p>
            <w:pPr>
              <w:jc w:val="left"/>
            </w:pPr>
            <w:r>
              <w:rPr>
                <w:rFonts w:ascii="Times New Roman" w:hAnsi="Times New Roman"/>
                <w:sz w:val="16"/>
              </w:rPr>
              <w:t>Original FinBERT</w:t>
            </w:r>
          </w:p>
        </w:tc>
        <w:tc>
          <w:tcPr>
            <w:tcW w:w="800" w:type="dxa"/>
            <w:vAlign w:val="center"/>
          </w:tcPr>
          <w:p>
            <w:pPr>
              <w:jc w:val="left"/>
            </w:pPr>
            <w:r>
              <w:rPr>
                <w:rFonts w:ascii="Times New Roman" w:hAnsi="Times New Roman"/>
                <w:sz w:val="16"/>
              </w:rPr>
              <w:t>3000</w:t>
            </w:r>
          </w:p>
        </w:tc>
        <w:tc>
          <w:tcPr>
            <w:tcW w:w="800" w:type="dxa"/>
            <w:vAlign w:val="center"/>
          </w:tcPr>
          <w:p>
            <w:pPr>
              <w:jc w:val="left"/>
            </w:pPr>
            <w:r>
              <w:rPr>
                <w:rFonts w:ascii="Times New Roman" w:hAnsi="Times New Roman"/>
                <w:sz w:val="16"/>
              </w:rPr>
              <w:t>0.9550</w:t>
            </w:r>
          </w:p>
        </w:tc>
        <w:tc>
          <w:tcPr>
            <w:tcW w:w="850" w:type="dxa"/>
            <w:vAlign w:val="center"/>
          </w:tcPr>
          <w:p>
            <w:pPr>
              <w:jc w:val="left"/>
            </w:pPr>
            <w:r>
              <w:rPr>
                <w:rFonts w:ascii="Times New Roman" w:hAnsi="Times New Roman"/>
                <w:sz w:val="16"/>
              </w:rPr>
              <w:t>0.9568</w:t>
            </w:r>
          </w:p>
        </w:tc>
        <w:tc>
          <w:tcPr>
            <w:tcW w:w="850" w:type="dxa"/>
            <w:vAlign w:val="center"/>
          </w:tcPr>
          <w:p>
            <w:pPr>
              <w:jc w:val="left"/>
            </w:pPr>
            <w:r>
              <w:rPr>
                <w:rFonts w:ascii="Times New Roman" w:hAnsi="Times New Roman"/>
                <w:sz w:val="16"/>
              </w:rPr>
              <w:t>0.9550</w:t>
            </w:r>
          </w:p>
        </w:tc>
        <w:tc>
          <w:tcPr>
            <w:tcW w:w="900" w:type="dxa"/>
            <w:vAlign w:val="center"/>
          </w:tcPr>
          <w:p>
            <w:pPr>
              <w:jc w:val="left"/>
            </w:pPr>
            <w:r>
              <w:rPr>
                <w:rFonts w:ascii="Times New Roman" w:hAnsi="Times New Roman"/>
                <w:sz w:val="16"/>
              </w:rPr>
              <w:t>0.9551</w:t>
            </w:r>
          </w:p>
        </w:tc>
        <w:tc>
          <w:tcPr>
            <w:tcW w:w="800" w:type="dxa"/>
            <w:vAlign w:val="center"/>
          </w:tcPr>
          <w:p>
            <w:pPr>
              <w:jc w:val="left"/>
            </w:pPr>
            <w:r>
              <w:rPr>
                <w:rFonts w:ascii="Times New Roman" w:hAnsi="Times New Roman"/>
                <w:sz w:val="16"/>
              </w:rPr>
              <w:t>0.9373</w:t>
            </w:r>
          </w:p>
        </w:tc>
        <w:tc>
          <w:tcPr>
            <w:tcW w:w="800" w:type="dxa"/>
            <w:vAlign w:val="center"/>
          </w:tcPr>
          <w:p>
            <w:pPr>
              <w:jc w:val="left"/>
            </w:pPr>
            <w:r>
              <w:rPr>
                <w:rFonts w:ascii="Times New Roman" w:hAnsi="Times New Roman"/>
                <w:sz w:val="16"/>
              </w:rPr>
              <w:t>0.9578</w:t>
            </w:r>
          </w:p>
        </w:tc>
        <w:tc>
          <w:tcPr>
            <w:tcW w:w="800" w:type="dxa"/>
            <w:vAlign w:val="center"/>
          </w:tcPr>
          <w:p>
            <w:pPr>
              <w:jc w:val="left"/>
            </w:pPr>
            <w:r>
              <w:rPr>
                <w:rFonts w:ascii="Times New Roman" w:hAnsi="Times New Roman"/>
                <w:sz w:val="16"/>
              </w:rPr>
              <w:t>0.9701</w:t>
            </w:r>
          </w:p>
        </w:tc>
      </w:tr>
      <w:tr>
        <w:tc>
          <w:tcPr>
            <w:tcW w:w="1700" w:type="dxa"/>
            <w:vAlign w:val="center"/>
          </w:tcPr>
          <w:p>
            <w:pPr>
              <w:jc w:val="left"/>
            </w:pPr>
            <w:r>
              <w:rPr>
                <w:rFonts w:ascii="Times New Roman" w:hAnsi="Times New Roman"/>
                <w:sz w:val="16"/>
              </w:rPr>
              <w:t>Reuters external test</w:t>
            </w:r>
          </w:p>
        </w:tc>
        <w:tc>
          <w:tcPr>
            <w:tcW w:w="1900" w:type="dxa"/>
            <w:vAlign w:val="center"/>
          </w:tcPr>
          <w:p>
            <w:pPr>
              <w:jc w:val="left"/>
            </w:pPr>
            <w:r>
              <w:rPr>
                <w:rFonts w:ascii="Times New Roman" w:hAnsi="Times New Roman"/>
                <w:sz w:val="16"/>
              </w:rPr>
              <w:t>Original FinBERT</w:t>
            </w:r>
          </w:p>
        </w:tc>
        <w:tc>
          <w:tcPr>
            <w:tcW w:w="800" w:type="dxa"/>
            <w:vAlign w:val="center"/>
          </w:tcPr>
          <w:p>
            <w:pPr>
              <w:jc w:val="left"/>
            </w:pPr>
            <w:r>
              <w:rPr>
                <w:rFonts w:ascii="Times New Roman" w:hAnsi="Times New Roman"/>
                <w:sz w:val="16"/>
              </w:rPr>
              <w:t>5000</w:t>
            </w:r>
          </w:p>
        </w:tc>
        <w:tc>
          <w:tcPr>
            <w:tcW w:w="800" w:type="dxa"/>
            <w:vAlign w:val="center"/>
          </w:tcPr>
          <w:p>
            <w:pPr>
              <w:jc w:val="left"/>
            </w:pPr>
            <w:r>
              <w:rPr>
                <w:rFonts w:ascii="Times New Roman" w:hAnsi="Times New Roman"/>
                <w:sz w:val="16"/>
              </w:rPr>
              <w:t>0.6966</w:t>
            </w:r>
          </w:p>
        </w:tc>
        <w:tc>
          <w:tcPr>
            <w:tcW w:w="850" w:type="dxa"/>
            <w:vAlign w:val="center"/>
          </w:tcPr>
          <w:p>
            <w:pPr>
              <w:jc w:val="left"/>
            </w:pPr>
            <w:r>
              <w:rPr>
                <w:rFonts w:ascii="Times New Roman" w:hAnsi="Times New Roman"/>
                <w:sz w:val="16"/>
              </w:rPr>
              <w:t>0.6882</w:t>
            </w:r>
          </w:p>
        </w:tc>
        <w:tc>
          <w:tcPr>
            <w:tcW w:w="850" w:type="dxa"/>
            <w:vAlign w:val="center"/>
          </w:tcPr>
          <w:p>
            <w:pPr>
              <w:jc w:val="left"/>
            </w:pPr>
            <w:r>
              <w:rPr>
                <w:rFonts w:ascii="Times New Roman" w:hAnsi="Times New Roman"/>
                <w:sz w:val="16"/>
              </w:rPr>
              <w:t>0.7021</w:t>
            </w:r>
          </w:p>
        </w:tc>
        <w:tc>
          <w:tcPr>
            <w:tcW w:w="900" w:type="dxa"/>
            <w:vAlign w:val="center"/>
          </w:tcPr>
          <w:p>
            <w:pPr>
              <w:jc w:val="left"/>
            </w:pPr>
            <w:r>
              <w:rPr>
                <w:rFonts w:ascii="Times New Roman" w:hAnsi="Times New Roman"/>
                <w:sz w:val="16"/>
              </w:rPr>
              <w:t>0.6866</w:t>
            </w:r>
          </w:p>
        </w:tc>
        <w:tc>
          <w:tcPr>
            <w:tcW w:w="800" w:type="dxa"/>
            <w:vAlign w:val="center"/>
          </w:tcPr>
          <w:p>
            <w:pPr>
              <w:jc w:val="left"/>
            </w:pPr>
            <w:r>
              <w:rPr>
                <w:rFonts w:ascii="Times New Roman" w:hAnsi="Times New Roman"/>
                <w:sz w:val="16"/>
              </w:rPr>
              <w:t>0.7483</w:t>
            </w:r>
          </w:p>
        </w:tc>
        <w:tc>
          <w:tcPr>
            <w:tcW w:w="800" w:type="dxa"/>
            <w:vAlign w:val="center"/>
          </w:tcPr>
          <w:p>
            <w:pPr>
              <w:jc w:val="left"/>
            </w:pPr>
            <w:r>
              <w:rPr>
                <w:rFonts w:ascii="Times New Roman" w:hAnsi="Times New Roman"/>
                <w:sz w:val="16"/>
              </w:rPr>
              <w:t>0.5820</w:t>
            </w:r>
          </w:p>
        </w:tc>
        <w:tc>
          <w:tcPr>
            <w:tcW w:w="800" w:type="dxa"/>
            <w:vAlign w:val="center"/>
          </w:tcPr>
          <w:p>
            <w:pPr>
              <w:jc w:val="left"/>
            </w:pPr>
            <w:r>
              <w:rPr>
                <w:rFonts w:ascii="Times New Roman" w:hAnsi="Times New Roman"/>
                <w:sz w:val="16"/>
              </w:rPr>
              <w:t>0.7295</w:t>
            </w:r>
          </w:p>
        </w:tc>
      </w:tr>
      <w:tr>
        <w:tc>
          <w:tcPr>
            <w:tcW w:w="1700" w:type="dxa"/>
            <w:vAlign w:val="center"/>
          </w:tcPr>
          <w:p>
            <w:pPr>
              <w:jc w:val="left"/>
            </w:pPr>
            <w:r>
              <w:rPr>
                <w:rFonts w:ascii="Times New Roman" w:hAnsi="Times New Roman"/>
                <w:sz w:val="16"/>
              </w:rPr>
              <w:t>Reuters external test</w:t>
            </w:r>
          </w:p>
        </w:tc>
        <w:tc>
          <w:tcPr>
            <w:tcW w:w="1900" w:type="dxa"/>
            <w:vAlign w:val="center"/>
          </w:tcPr>
          <w:p>
            <w:pPr>
              <w:jc w:val="left"/>
            </w:pPr>
            <w:r>
              <w:rPr>
                <w:rFonts w:ascii="Times New Roman" w:hAnsi="Times New Roman"/>
                <w:sz w:val="16"/>
              </w:rPr>
              <w:t>RoBERTa-base</w:t>
            </w:r>
          </w:p>
        </w:tc>
        <w:tc>
          <w:tcPr>
            <w:tcW w:w="800" w:type="dxa"/>
            <w:vAlign w:val="center"/>
          </w:tcPr>
          <w:p>
            <w:pPr>
              <w:jc w:val="left"/>
            </w:pPr>
            <w:r>
              <w:rPr>
                <w:rFonts w:ascii="Times New Roman" w:hAnsi="Times New Roman"/>
                <w:sz w:val="16"/>
              </w:rPr>
              <w:t>5000</w:t>
            </w:r>
          </w:p>
        </w:tc>
        <w:tc>
          <w:tcPr>
            <w:tcW w:w="800" w:type="dxa"/>
            <w:vAlign w:val="center"/>
          </w:tcPr>
          <w:p>
            <w:pPr>
              <w:jc w:val="left"/>
            </w:pPr>
            <w:r>
              <w:rPr>
                <w:rFonts w:ascii="Times New Roman" w:hAnsi="Times New Roman"/>
                <w:sz w:val="16"/>
              </w:rPr>
              <w:t>0.6268</w:t>
            </w:r>
          </w:p>
        </w:tc>
        <w:tc>
          <w:tcPr>
            <w:tcW w:w="850" w:type="dxa"/>
            <w:vAlign w:val="center"/>
          </w:tcPr>
          <w:p>
            <w:pPr>
              <w:jc w:val="left"/>
            </w:pPr>
            <w:r>
              <w:rPr>
                <w:rFonts w:ascii="Times New Roman" w:hAnsi="Times New Roman"/>
                <w:sz w:val="16"/>
              </w:rPr>
              <w:t>0.7464</w:t>
            </w:r>
          </w:p>
        </w:tc>
        <w:tc>
          <w:tcPr>
            <w:tcW w:w="850" w:type="dxa"/>
            <w:vAlign w:val="center"/>
          </w:tcPr>
          <w:p>
            <w:pPr>
              <w:jc w:val="left"/>
            </w:pPr>
            <w:r>
              <w:rPr>
                <w:rFonts w:ascii="Times New Roman" w:hAnsi="Times New Roman"/>
                <w:sz w:val="16"/>
              </w:rPr>
              <w:t>0.6723</w:t>
            </w:r>
          </w:p>
        </w:tc>
        <w:tc>
          <w:tcPr>
            <w:tcW w:w="900" w:type="dxa"/>
            <w:vAlign w:val="center"/>
          </w:tcPr>
          <w:p>
            <w:pPr>
              <w:jc w:val="left"/>
            </w:pPr>
            <w:r>
              <w:rPr>
                <w:rFonts w:ascii="Times New Roman" w:hAnsi="Times New Roman"/>
                <w:sz w:val="16"/>
              </w:rPr>
              <w:t>0.6388</w:t>
            </w:r>
          </w:p>
        </w:tc>
        <w:tc>
          <w:tcPr>
            <w:tcW w:w="800" w:type="dxa"/>
            <w:vAlign w:val="center"/>
          </w:tcPr>
          <w:p>
            <w:pPr>
              <w:jc w:val="left"/>
            </w:pPr>
            <w:r>
              <w:rPr>
                <w:rFonts w:ascii="Times New Roman" w:hAnsi="Times New Roman"/>
                <w:sz w:val="16"/>
              </w:rPr>
              <w:t>0.7269</w:t>
            </w:r>
          </w:p>
        </w:tc>
        <w:tc>
          <w:tcPr>
            <w:tcW w:w="800" w:type="dxa"/>
            <w:vAlign w:val="center"/>
          </w:tcPr>
          <w:p>
            <w:pPr>
              <w:jc w:val="left"/>
            </w:pPr>
            <w:r>
              <w:rPr>
                <w:rFonts w:ascii="Times New Roman" w:hAnsi="Times New Roman"/>
                <w:sz w:val="16"/>
              </w:rPr>
              <w:t>0.5412</w:t>
            </w:r>
          </w:p>
        </w:tc>
        <w:tc>
          <w:tcPr>
            <w:tcW w:w="800" w:type="dxa"/>
            <w:vAlign w:val="center"/>
          </w:tcPr>
          <w:p>
            <w:pPr>
              <w:jc w:val="left"/>
            </w:pPr>
            <w:r>
              <w:rPr>
                <w:rFonts w:ascii="Times New Roman" w:hAnsi="Times New Roman"/>
                <w:sz w:val="16"/>
              </w:rPr>
              <w:t>0.6484</w:t>
            </w:r>
          </w:p>
        </w:tc>
      </w:tr>
      <w:tr>
        <w:tc>
          <w:tcPr>
            <w:tcW w:w="1700" w:type="dxa"/>
            <w:vAlign w:val="center"/>
          </w:tcPr>
          <w:p>
            <w:pPr>
              <w:jc w:val="left"/>
            </w:pPr>
            <w:r>
              <w:rPr>
                <w:rFonts w:ascii="Times New Roman" w:hAnsi="Times New Roman"/>
                <w:sz w:val="16"/>
              </w:rPr>
              <w:t>Reuters external test</w:t>
            </w:r>
          </w:p>
        </w:tc>
        <w:tc>
          <w:tcPr>
            <w:tcW w:w="1900" w:type="dxa"/>
            <w:vAlign w:val="center"/>
          </w:tcPr>
          <w:p>
            <w:pPr>
              <w:jc w:val="left"/>
            </w:pPr>
            <w:r>
              <w:rPr>
                <w:rFonts w:ascii="Times New Roman" w:hAnsi="Times New Roman"/>
                <w:sz w:val="16"/>
              </w:rPr>
              <w:t>BERT-base-uncased</w:t>
            </w:r>
          </w:p>
        </w:tc>
        <w:tc>
          <w:tcPr>
            <w:tcW w:w="800" w:type="dxa"/>
            <w:vAlign w:val="center"/>
          </w:tcPr>
          <w:p>
            <w:pPr>
              <w:jc w:val="left"/>
            </w:pPr>
            <w:r>
              <w:rPr>
                <w:rFonts w:ascii="Times New Roman" w:hAnsi="Times New Roman"/>
                <w:sz w:val="16"/>
              </w:rPr>
              <w:t>5000</w:t>
            </w:r>
          </w:p>
        </w:tc>
        <w:tc>
          <w:tcPr>
            <w:tcW w:w="800" w:type="dxa"/>
            <w:vAlign w:val="center"/>
          </w:tcPr>
          <w:p>
            <w:pPr>
              <w:jc w:val="left"/>
            </w:pPr>
            <w:r>
              <w:rPr>
                <w:rFonts w:ascii="Times New Roman" w:hAnsi="Times New Roman"/>
                <w:sz w:val="16"/>
              </w:rPr>
              <w:t>0.6034</w:t>
            </w:r>
          </w:p>
        </w:tc>
        <w:tc>
          <w:tcPr>
            <w:tcW w:w="850" w:type="dxa"/>
            <w:vAlign w:val="center"/>
          </w:tcPr>
          <w:p>
            <w:pPr>
              <w:jc w:val="left"/>
            </w:pPr>
            <w:r>
              <w:rPr>
                <w:rFonts w:ascii="Times New Roman" w:hAnsi="Times New Roman"/>
                <w:sz w:val="16"/>
              </w:rPr>
              <w:t>0.7165</w:t>
            </w:r>
          </w:p>
        </w:tc>
        <w:tc>
          <w:tcPr>
            <w:tcW w:w="850" w:type="dxa"/>
            <w:vAlign w:val="center"/>
          </w:tcPr>
          <w:p>
            <w:pPr>
              <w:jc w:val="left"/>
            </w:pPr>
            <w:r>
              <w:rPr>
                <w:rFonts w:ascii="Times New Roman" w:hAnsi="Times New Roman"/>
                <w:sz w:val="16"/>
              </w:rPr>
              <w:t>0.6451</w:t>
            </w:r>
          </w:p>
        </w:tc>
        <w:tc>
          <w:tcPr>
            <w:tcW w:w="900" w:type="dxa"/>
            <w:vAlign w:val="center"/>
          </w:tcPr>
          <w:p>
            <w:pPr>
              <w:jc w:val="left"/>
            </w:pPr>
            <w:r>
              <w:rPr>
                <w:rFonts w:ascii="Times New Roman" w:hAnsi="Times New Roman"/>
                <w:sz w:val="16"/>
              </w:rPr>
              <w:t>0.6131</w:t>
            </w:r>
          </w:p>
        </w:tc>
        <w:tc>
          <w:tcPr>
            <w:tcW w:w="800" w:type="dxa"/>
            <w:vAlign w:val="center"/>
          </w:tcPr>
          <w:p>
            <w:pPr>
              <w:jc w:val="left"/>
            </w:pPr>
            <w:r>
              <w:rPr>
                <w:rFonts w:ascii="Times New Roman" w:hAnsi="Times New Roman"/>
                <w:sz w:val="16"/>
              </w:rPr>
              <w:t>0.6790</w:t>
            </w:r>
          </w:p>
        </w:tc>
        <w:tc>
          <w:tcPr>
            <w:tcW w:w="800" w:type="dxa"/>
            <w:vAlign w:val="center"/>
          </w:tcPr>
          <w:p>
            <w:pPr>
              <w:jc w:val="left"/>
            </w:pPr>
            <w:r>
              <w:rPr>
                <w:rFonts w:ascii="Times New Roman" w:hAnsi="Times New Roman"/>
                <w:sz w:val="16"/>
              </w:rPr>
              <w:t>0.5245</w:t>
            </w:r>
          </w:p>
        </w:tc>
        <w:tc>
          <w:tcPr>
            <w:tcW w:w="800" w:type="dxa"/>
            <w:vAlign w:val="center"/>
          </w:tcPr>
          <w:p>
            <w:pPr>
              <w:jc w:val="left"/>
            </w:pPr>
            <w:r>
              <w:rPr>
                <w:rFonts w:ascii="Times New Roman" w:hAnsi="Times New Roman"/>
                <w:sz w:val="16"/>
              </w:rPr>
              <w:t>0.6359</w:t>
            </w:r>
          </w:p>
        </w:tc>
      </w:tr>
      <w:tr>
        <w:tc>
          <w:tcPr>
            <w:tcW w:w="1700" w:type="dxa"/>
            <w:vAlign w:val="center"/>
          </w:tcPr>
          <w:p>
            <w:pPr>
              <w:jc w:val="left"/>
            </w:pPr>
            <w:r>
              <w:rPr>
                <w:rFonts w:ascii="Times New Roman" w:hAnsi="Times New Roman"/>
                <w:sz w:val="16"/>
              </w:rPr>
              <w:t>Reuters external test</w:t>
            </w:r>
          </w:p>
        </w:tc>
        <w:tc>
          <w:tcPr>
            <w:tcW w:w="1900" w:type="dxa"/>
            <w:vAlign w:val="center"/>
          </w:tcPr>
          <w:p>
            <w:pPr>
              <w:jc w:val="left"/>
            </w:pPr>
            <w:r>
              <w:rPr>
                <w:rFonts w:ascii="Times New Roman" w:hAnsi="Times New Roman"/>
                <w:sz w:val="16"/>
              </w:rPr>
              <w:t>DistilBERT-base-uncased</w:t>
            </w:r>
          </w:p>
        </w:tc>
        <w:tc>
          <w:tcPr>
            <w:tcW w:w="800" w:type="dxa"/>
            <w:vAlign w:val="center"/>
          </w:tcPr>
          <w:p>
            <w:pPr>
              <w:jc w:val="left"/>
            </w:pPr>
            <w:r>
              <w:rPr>
                <w:rFonts w:ascii="Times New Roman" w:hAnsi="Times New Roman"/>
                <w:sz w:val="16"/>
              </w:rPr>
              <w:t>5000</w:t>
            </w:r>
          </w:p>
        </w:tc>
        <w:tc>
          <w:tcPr>
            <w:tcW w:w="800" w:type="dxa"/>
            <w:vAlign w:val="center"/>
          </w:tcPr>
          <w:p>
            <w:pPr>
              <w:jc w:val="left"/>
            </w:pPr>
            <w:r>
              <w:rPr>
                <w:rFonts w:ascii="Times New Roman" w:hAnsi="Times New Roman"/>
                <w:sz w:val="16"/>
              </w:rPr>
              <w:t>0.5766</w:t>
            </w:r>
          </w:p>
        </w:tc>
        <w:tc>
          <w:tcPr>
            <w:tcW w:w="850" w:type="dxa"/>
            <w:vAlign w:val="center"/>
          </w:tcPr>
          <w:p>
            <w:pPr>
              <w:jc w:val="left"/>
            </w:pPr>
            <w:r>
              <w:rPr>
                <w:rFonts w:ascii="Times New Roman" w:hAnsi="Times New Roman"/>
                <w:sz w:val="16"/>
              </w:rPr>
              <w:t>0.6883</w:t>
            </w:r>
          </w:p>
        </w:tc>
        <w:tc>
          <w:tcPr>
            <w:tcW w:w="850" w:type="dxa"/>
            <w:vAlign w:val="center"/>
          </w:tcPr>
          <w:p>
            <w:pPr>
              <w:jc w:val="left"/>
            </w:pPr>
            <w:r>
              <w:rPr>
                <w:rFonts w:ascii="Times New Roman" w:hAnsi="Times New Roman"/>
                <w:sz w:val="16"/>
              </w:rPr>
              <w:t>0.6201</w:t>
            </w:r>
          </w:p>
        </w:tc>
        <w:tc>
          <w:tcPr>
            <w:tcW w:w="900" w:type="dxa"/>
            <w:vAlign w:val="center"/>
          </w:tcPr>
          <w:p>
            <w:pPr>
              <w:jc w:val="left"/>
            </w:pPr>
            <w:r>
              <w:rPr>
                <w:rFonts w:ascii="Times New Roman" w:hAnsi="Times New Roman"/>
                <w:sz w:val="16"/>
              </w:rPr>
              <w:t>0.5869</w:t>
            </w:r>
          </w:p>
        </w:tc>
        <w:tc>
          <w:tcPr>
            <w:tcW w:w="800" w:type="dxa"/>
            <w:vAlign w:val="center"/>
          </w:tcPr>
          <w:p>
            <w:pPr>
              <w:jc w:val="left"/>
            </w:pPr>
            <w:r>
              <w:rPr>
                <w:rFonts w:ascii="Times New Roman" w:hAnsi="Times New Roman"/>
                <w:sz w:val="16"/>
              </w:rPr>
              <w:t>0.6588</w:t>
            </w:r>
          </w:p>
        </w:tc>
        <w:tc>
          <w:tcPr>
            <w:tcW w:w="800" w:type="dxa"/>
            <w:vAlign w:val="center"/>
          </w:tcPr>
          <w:p>
            <w:pPr>
              <w:jc w:val="left"/>
            </w:pPr>
            <w:r>
              <w:rPr>
                <w:rFonts w:ascii="Times New Roman" w:hAnsi="Times New Roman"/>
                <w:sz w:val="16"/>
              </w:rPr>
              <w:t>0.5052</w:t>
            </w:r>
          </w:p>
        </w:tc>
        <w:tc>
          <w:tcPr>
            <w:tcW w:w="800" w:type="dxa"/>
            <w:vAlign w:val="center"/>
          </w:tcPr>
          <w:p>
            <w:pPr>
              <w:jc w:val="left"/>
            </w:pPr>
            <w:r>
              <w:rPr>
                <w:rFonts w:ascii="Times New Roman" w:hAnsi="Times New Roman"/>
                <w:sz w:val="16"/>
              </w:rPr>
              <w:t>0.5966</w:t>
            </w:r>
          </w:p>
        </w:tc>
      </w:tr>
      <w:tr>
        <w:tc>
          <w:tcPr>
            <w:tcW w:w="1700" w:type="dxa"/>
            <w:vAlign w:val="center"/>
          </w:tcPr>
          <w:p>
            <w:pPr>
              <w:jc w:val="left"/>
            </w:pPr>
            <w:r>
              <w:rPr>
                <w:rFonts w:ascii="Times New Roman" w:hAnsi="Times New Roman"/>
                <w:sz w:val="16"/>
              </w:rPr>
              <w:t>S&amp;P 500 zero-shot</w:t>
            </w:r>
          </w:p>
        </w:tc>
        <w:tc>
          <w:tcPr>
            <w:tcW w:w="1900" w:type="dxa"/>
            <w:vAlign w:val="center"/>
          </w:tcPr>
          <w:p>
            <w:pPr>
              <w:jc w:val="left"/>
            </w:pPr>
            <w:r>
              <w:rPr>
                <w:rFonts w:ascii="Times New Roman" w:hAnsi="Times New Roman"/>
                <w:sz w:val="16"/>
              </w:rPr>
              <w:t>BART-large-MNLI zero-shot</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0.6594</w:t>
            </w:r>
          </w:p>
        </w:tc>
        <w:tc>
          <w:tcPr>
            <w:tcW w:w="850" w:type="dxa"/>
            <w:vAlign w:val="center"/>
          </w:tcPr>
          <w:p>
            <w:pPr>
              <w:jc w:val="left"/>
            </w:pPr>
            <w:r>
              <w:rPr>
                <w:rFonts w:ascii="Times New Roman" w:hAnsi="Times New Roman"/>
                <w:sz w:val="16"/>
              </w:rPr>
              <w:t>0.7043</w:t>
            </w:r>
          </w:p>
        </w:tc>
        <w:tc>
          <w:tcPr>
            <w:tcW w:w="850" w:type="dxa"/>
            <w:vAlign w:val="center"/>
          </w:tcPr>
          <w:p>
            <w:pPr>
              <w:jc w:val="left"/>
            </w:pPr>
            <w:r>
              <w:rPr>
                <w:rFonts w:ascii="Times New Roman" w:hAnsi="Times New Roman"/>
                <w:sz w:val="16"/>
              </w:rPr>
              <w:t>0.6479</w:t>
            </w:r>
          </w:p>
        </w:tc>
        <w:tc>
          <w:tcPr>
            <w:tcW w:w="900" w:type="dxa"/>
            <w:vAlign w:val="center"/>
          </w:tcPr>
          <w:p>
            <w:pPr>
              <w:jc w:val="left"/>
            </w:pPr>
            <w:r>
              <w:rPr>
                <w:rFonts w:ascii="Times New Roman" w:hAnsi="Times New Roman"/>
                <w:sz w:val="16"/>
              </w:rPr>
              <w:t>0.5580</w:t>
            </w:r>
          </w:p>
        </w:tc>
        <w:tc>
          <w:tcPr>
            <w:tcW w:w="800" w:type="dxa"/>
            <w:vAlign w:val="center"/>
          </w:tcPr>
          <w:p>
            <w:pPr>
              <w:jc w:val="left"/>
            </w:pPr>
            <w:r>
              <w:rPr>
                <w:rFonts w:ascii="Times New Roman" w:hAnsi="Times New Roman"/>
                <w:sz w:val="16"/>
              </w:rPr>
              <w:t>0.8101</w:t>
            </w:r>
          </w:p>
        </w:tc>
        <w:tc>
          <w:tcPr>
            <w:tcW w:w="800" w:type="dxa"/>
            <w:vAlign w:val="center"/>
          </w:tcPr>
          <w:p>
            <w:pPr>
              <w:jc w:val="left"/>
            </w:pPr>
            <w:r>
              <w:rPr>
                <w:rFonts w:ascii="Times New Roman" w:hAnsi="Times New Roman"/>
                <w:sz w:val="16"/>
              </w:rPr>
              <w:t>0.1199</w:t>
            </w:r>
          </w:p>
        </w:tc>
        <w:tc>
          <w:tcPr>
            <w:tcW w:w="800" w:type="dxa"/>
            <w:vAlign w:val="center"/>
          </w:tcPr>
          <w:p>
            <w:pPr>
              <w:jc w:val="left"/>
            </w:pPr>
            <w:r>
              <w:rPr>
                <w:rFonts w:ascii="Times New Roman" w:hAnsi="Times New Roman"/>
                <w:sz w:val="16"/>
              </w:rPr>
              <w:t>0.7440</w:t>
            </w:r>
          </w:p>
        </w:tc>
      </w:tr>
      <w:tr>
        <w:tc>
          <w:tcPr>
            <w:tcW w:w="1700" w:type="dxa"/>
            <w:vAlign w:val="center"/>
          </w:tcPr>
          <w:p>
            <w:pPr>
              <w:jc w:val="left"/>
            </w:pPr>
            <w:r>
              <w:rPr>
                <w:rFonts w:ascii="Times New Roman" w:hAnsi="Times New Roman"/>
                <w:sz w:val="16"/>
              </w:rPr>
              <w:t>S&amp;P 500 zero-shot</w:t>
            </w:r>
          </w:p>
        </w:tc>
        <w:tc>
          <w:tcPr>
            <w:tcW w:w="1900" w:type="dxa"/>
            <w:vAlign w:val="center"/>
          </w:tcPr>
          <w:p>
            <w:pPr>
              <w:jc w:val="left"/>
            </w:pPr>
            <w:r>
              <w:rPr>
                <w:rFonts w:ascii="Times New Roman" w:hAnsi="Times New Roman"/>
                <w:sz w:val="16"/>
              </w:rPr>
              <w:t>RoBERTa-base NLI zero-shot</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0.6085</w:t>
            </w:r>
          </w:p>
        </w:tc>
        <w:tc>
          <w:tcPr>
            <w:tcW w:w="850" w:type="dxa"/>
            <w:vAlign w:val="center"/>
          </w:tcPr>
          <w:p>
            <w:pPr>
              <w:jc w:val="left"/>
            </w:pPr>
            <w:r>
              <w:rPr>
                <w:rFonts w:ascii="Times New Roman" w:hAnsi="Times New Roman"/>
                <w:sz w:val="16"/>
              </w:rPr>
              <w:t>0.7423</w:t>
            </w:r>
          </w:p>
        </w:tc>
        <w:tc>
          <w:tcPr>
            <w:tcW w:w="850" w:type="dxa"/>
            <w:vAlign w:val="center"/>
          </w:tcPr>
          <w:p>
            <w:pPr>
              <w:jc w:val="left"/>
            </w:pPr>
            <w:r>
              <w:rPr>
                <w:rFonts w:ascii="Times New Roman" w:hAnsi="Times New Roman"/>
                <w:sz w:val="16"/>
              </w:rPr>
              <w:t>0.5966</w:t>
            </w:r>
          </w:p>
        </w:tc>
        <w:tc>
          <w:tcPr>
            <w:tcW w:w="900" w:type="dxa"/>
            <w:vAlign w:val="center"/>
          </w:tcPr>
          <w:p>
            <w:pPr>
              <w:jc w:val="left"/>
            </w:pPr>
            <w:r>
              <w:rPr>
                <w:rFonts w:ascii="Times New Roman" w:hAnsi="Times New Roman"/>
                <w:sz w:val="16"/>
              </w:rPr>
              <w:t>0.4913</w:t>
            </w:r>
          </w:p>
        </w:tc>
        <w:tc>
          <w:tcPr>
            <w:tcW w:w="800" w:type="dxa"/>
            <w:vAlign w:val="center"/>
          </w:tcPr>
          <w:p>
            <w:pPr>
              <w:jc w:val="left"/>
            </w:pPr>
            <w:r>
              <w:rPr>
                <w:rFonts w:ascii="Times New Roman" w:hAnsi="Times New Roman"/>
                <w:sz w:val="16"/>
              </w:rPr>
              <w:t>0.7523</w:t>
            </w:r>
          </w:p>
        </w:tc>
        <w:tc>
          <w:tcPr>
            <w:tcW w:w="800" w:type="dxa"/>
            <w:vAlign w:val="center"/>
          </w:tcPr>
          <w:p>
            <w:pPr>
              <w:jc w:val="left"/>
            </w:pPr>
            <w:r>
              <w:rPr>
                <w:rFonts w:ascii="Times New Roman" w:hAnsi="Times New Roman"/>
                <w:sz w:val="16"/>
              </w:rPr>
              <w:t>0.0233</w:t>
            </w:r>
          </w:p>
        </w:tc>
        <w:tc>
          <w:tcPr>
            <w:tcW w:w="800" w:type="dxa"/>
            <w:vAlign w:val="center"/>
          </w:tcPr>
          <w:p>
            <w:pPr>
              <w:jc w:val="left"/>
            </w:pPr>
            <w:r>
              <w:rPr>
                <w:rFonts w:ascii="Times New Roman" w:hAnsi="Times New Roman"/>
                <w:sz w:val="16"/>
              </w:rPr>
              <w:t>0.6982</w:t>
            </w:r>
          </w:p>
        </w:tc>
      </w:tr>
      <w:tr>
        <w:tc>
          <w:tcPr>
            <w:tcW w:w="1700" w:type="dxa"/>
            <w:vAlign w:val="center"/>
          </w:tcPr>
          <w:p>
            <w:pPr>
              <w:jc w:val="left"/>
            </w:pPr>
            <w:r>
              <w:rPr>
                <w:rFonts w:ascii="Times New Roman" w:hAnsi="Times New Roman"/>
                <w:sz w:val="16"/>
              </w:rPr>
              <w:t>S&amp;P 500 zero-shot</w:t>
            </w:r>
          </w:p>
        </w:tc>
        <w:tc>
          <w:tcPr>
            <w:tcW w:w="1900" w:type="dxa"/>
            <w:vAlign w:val="center"/>
          </w:tcPr>
          <w:p>
            <w:pPr>
              <w:jc w:val="left"/>
            </w:pPr>
            <w:r>
              <w:rPr>
                <w:rFonts w:ascii="Times New Roman" w:hAnsi="Times New Roman"/>
                <w:sz w:val="16"/>
              </w:rPr>
              <w:t>BERT-base MNLI zero-shot</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0.5057</w:t>
            </w:r>
          </w:p>
        </w:tc>
        <w:tc>
          <w:tcPr>
            <w:tcW w:w="850" w:type="dxa"/>
            <w:vAlign w:val="center"/>
          </w:tcPr>
          <w:p>
            <w:pPr>
              <w:jc w:val="left"/>
            </w:pPr>
            <w:r>
              <w:rPr>
                <w:rFonts w:ascii="Times New Roman" w:hAnsi="Times New Roman"/>
                <w:sz w:val="16"/>
              </w:rPr>
              <w:t>0.3951</w:t>
            </w:r>
          </w:p>
        </w:tc>
        <w:tc>
          <w:tcPr>
            <w:tcW w:w="850" w:type="dxa"/>
            <w:vAlign w:val="center"/>
          </w:tcPr>
          <w:p>
            <w:pPr>
              <w:jc w:val="left"/>
            </w:pPr>
            <w:r>
              <w:rPr>
                <w:rFonts w:ascii="Times New Roman" w:hAnsi="Times New Roman"/>
                <w:sz w:val="16"/>
              </w:rPr>
              <w:t>0.4930</w:t>
            </w:r>
          </w:p>
        </w:tc>
        <w:tc>
          <w:tcPr>
            <w:tcW w:w="900" w:type="dxa"/>
            <w:vAlign w:val="center"/>
          </w:tcPr>
          <w:p>
            <w:pPr>
              <w:jc w:val="left"/>
            </w:pPr>
            <w:r>
              <w:rPr>
                <w:rFonts w:ascii="Times New Roman" w:hAnsi="Times New Roman"/>
                <w:sz w:val="16"/>
              </w:rPr>
              <w:t>0.4033</w:t>
            </w:r>
          </w:p>
        </w:tc>
        <w:tc>
          <w:tcPr>
            <w:tcW w:w="800" w:type="dxa"/>
            <w:vAlign w:val="center"/>
          </w:tcPr>
          <w:p>
            <w:pPr>
              <w:jc w:val="left"/>
            </w:pPr>
            <w:r>
              <w:rPr>
                <w:rFonts w:ascii="Times New Roman" w:hAnsi="Times New Roman"/>
                <w:sz w:val="16"/>
              </w:rPr>
              <w:t>0.5963</w:t>
            </w:r>
          </w:p>
        </w:tc>
        <w:tc>
          <w:tcPr>
            <w:tcW w:w="800" w:type="dxa"/>
            <w:vAlign w:val="center"/>
          </w:tcPr>
          <w:p>
            <w:pPr>
              <w:jc w:val="left"/>
            </w:pPr>
            <w:r>
              <w:rPr>
                <w:rFonts w:ascii="Times New Roman" w:hAnsi="Times New Roman"/>
                <w:sz w:val="16"/>
              </w:rPr>
              <w:t>0.0058</w:t>
            </w:r>
          </w:p>
        </w:tc>
        <w:tc>
          <w:tcPr>
            <w:tcW w:w="800" w:type="dxa"/>
            <w:vAlign w:val="center"/>
          </w:tcPr>
          <w:p>
            <w:pPr>
              <w:jc w:val="left"/>
            </w:pPr>
            <w:r>
              <w:rPr>
                <w:rFonts w:ascii="Times New Roman" w:hAnsi="Times New Roman"/>
                <w:sz w:val="16"/>
              </w:rPr>
              <w:t>0.6077</w:t>
            </w:r>
          </w:p>
        </w:tc>
      </w:tr>
      <w:tr>
        <w:tc>
          <w:tcPr>
            <w:tcW w:w="1700" w:type="dxa"/>
            <w:vAlign w:val="center"/>
          </w:tcPr>
          <w:p>
            <w:pPr>
              <w:jc w:val="left"/>
            </w:pPr>
            <w:r>
              <w:rPr>
                <w:rFonts w:ascii="Times New Roman" w:hAnsi="Times New Roman"/>
                <w:sz w:val="16"/>
              </w:rPr>
              <w:t>S&amp;P 500 zero-shot</w:t>
            </w:r>
          </w:p>
        </w:tc>
        <w:tc>
          <w:tcPr>
            <w:tcW w:w="1900" w:type="dxa"/>
            <w:vAlign w:val="center"/>
          </w:tcPr>
          <w:p>
            <w:pPr>
              <w:jc w:val="left"/>
            </w:pPr>
            <w:r>
              <w:rPr>
                <w:rFonts w:ascii="Times New Roman" w:hAnsi="Times New Roman"/>
                <w:sz w:val="16"/>
              </w:rPr>
              <w:t>DistilBERT-base MNLI zero-shot</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0.4679</w:t>
            </w:r>
          </w:p>
        </w:tc>
        <w:tc>
          <w:tcPr>
            <w:tcW w:w="850" w:type="dxa"/>
            <w:vAlign w:val="center"/>
          </w:tcPr>
          <w:p>
            <w:pPr>
              <w:jc w:val="left"/>
            </w:pPr>
            <w:r>
              <w:rPr>
                <w:rFonts w:ascii="Times New Roman" w:hAnsi="Times New Roman"/>
                <w:sz w:val="16"/>
              </w:rPr>
              <w:t>0.5502</w:t>
            </w:r>
          </w:p>
        </w:tc>
        <w:tc>
          <w:tcPr>
            <w:tcW w:w="850" w:type="dxa"/>
            <w:vAlign w:val="center"/>
          </w:tcPr>
          <w:p>
            <w:pPr>
              <w:jc w:val="left"/>
            </w:pPr>
            <w:r>
              <w:rPr>
                <w:rFonts w:ascii="Times New Roman" w:hAnsi="Times New Roman"/>
                <w:sz w:val="16"/>
              </w:rPr>
              <w:t>0.4760</w:t>
            </w:r>
          </w:p>
        </w:tc>
        <w:tc>
          <w:tcPr>
            <w:tcW w:w="900" w:type="dxa"/>
            <w:vAlign w:val="center"/>
          </w:tcPr>
          <w:p>
            <w:pPr>
              <w:jc w:val="left"/>
            </w:pPr>
            <w:r>
              <w:rPr>
                <w:rFonts w:ascii="Times New Roman" w:hAnsi="Times New Roman"/>
                <w:sz w:val="16"/>
              </w:rPr>
              <w:t>0.3880</w:t>
            </w:r>
          </w:p>
        </w:tc>
        <w:tc>
          <w:tcPr>
            <w:tcW w:w="800" w:type="dxa"/>
            <w:vAlign w:val="center"/>
          </w:tcPr>
          <w:p>
            <w:pPr>
              <w:jc w:val="left"/>
            </w:pPr>
            <w:r>
              <w:rPr>
                <w:rFonts w:ascii="Times New Roman" w:hAnsi="Times New Roman"/>
                <w:sz w:val="16"/>
              </w:rPr>
              <w:t>0.5663</w:t>
            </w:r>
          </w:p>
        </w:tc>
        <w:tc>
          <w:tcPr>
            <w:tcW w:w="800" w:type="dxa"/>
            <w:vAlign w:val="center"/>
          </w:tcPr>
          <w:p>
            <w:pPr>
              <w:jc w:val="left"/>
            </w:pPr>
            <w:r>
              <w:rPr>
                <w:rFonts w:ascii="Times New Roman" w:hAnsi="Times New Roman"/>
                <w:sz w:val="16"/>
              </w:rPr>
              <w:t>0.0776</w:t>
            </w:r>
          </w:p>
        </w:tc>
        <w:tc>
          <w:tcPr>
            <w:tcW w:w="800" w:type="dxa"/>
            <w:vAlign w:val="center"/>
          </w:tcPr>
          <w:p>
            <w:pPr>
              <w:jc w:val="left"/>
            </w:pPr>
            <w:r>
              <w:rPr>
                <w:rFonts w:ascii="Times New Roman" w:hAnsi="Times New Roman"/>
                <w:sz w:val="16"/>
              </w:rPr>
              <w:t>0.5201</w:t>
            </w:r>
          </w:p>
        </w:tc>
      </w:tr>
    </w:tbl>
    <w:p>
      <w:pPr>
        <w:pStyle w:val="Heading2"/>
      </w:pPr>
      <w:r>
        <w:rPr>
          <w:rFonts w:ascii="Times New Roman" w:hAnsi="Times New Roman"/>
        </w:rPr>
        <w:t>C.4. Anotasyon Yöntemi ve Sınırlılık</w:t>
      </w:r>
    </w:p>
    <w:p>
      <w:pPr>
        <w:spacing w:line="360" w:lineRule="auto" w:after="120"/>
        <w:ind w:firstLine="720"/>
        <w:jc w:val="both"/>
      </w:pPr>
      <w:r>
        <w:rPr>
          <w:rFonts w:ascii="Times New Roman" w:hAnsi="Times New Roman"/>
          <w:sz w:val="24"/>
        </w:rPr>
        <w:t>S&amp;P 500 setinde haber başlıkları önce FinBERT ile etiketlenmiş, ardından dengeli anotasyon batchleri hazırlanmıştır. Batch yapısında final_label, ChatGPT destekli açıklama, güven ve not alanları bulunmaktadır. Reuters seti 5.000 örnek olarak hazırlanmış; final_label alanı değerlendirme etiketi olarak kullanılmıştır. Kullanılan yönerge özetle positive için yatırımcı açısından olumlu beklenti/gerçekleşme, negative için olumsuz beklenti/risk/kayıp, neutral için olgusal veya yönü belirsiz haber tanımlarını kullanır. Birden fazla hedefte çatışan sentiment varsa target_entity doldurulması veya plain sentiment için örneğin ayrılması önerilmiştir.</w:t>
      </w:r>
    </w:p>
    <w:p>
      <w:pPr>
        <w:spacing w:line="360" w:lineRule="auto" w:after="120"/>
        <w:ind w:firstLine="720"/>
        <w:jc w:val="both"/>
      </w:pPr>
      <w:r>
        <w:rPr>
          <w:rFonts w:ascii="Times New Roman" w:hAnsi="Times New Roman"/>
          <w:sz w:val="24"/>
        </w:rPr>
        <w:t>Mevcut dosyalarda kaç insan anotatörün görev aldığı ve anotatörler arası uyumun Cohen kappa veya Krippendorff alpha gibi bir ölçütle hesaplandığına ilişkin tamamlanmış kayıt bulunmamaktadır. Bu nedenle çalışma, anotasyon güvenilirliğini ölçülmüş bir bulgu olarak değil, sınırlılık ve gelecek çalışma gereksinimi olarak raporlamalıdır.</w:t>
      </w:r>
    </w:p>
    <w:p>
      <w:pPr>
        <w:pStyle w:val="Heading2"/>
      </w:pPr>
      <w:r>
        <w:rPr>
          <w:rFonts w:ascii="Times New Roman" w:hAnsi="Times New Roman"/>
        </w:rPr>
        <w:t>C.5. Confusion Matrix ve Hata Analizi</w:t>
      </w:r>
    </w:p>
    <w:tbl>
      <w:tblPr>
        <w:tblStyle w:val="TableGrid"/>
        <w:tblW w:w="74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0"/>
        <w:gridCol w:w="2600"/>
        <w:gridCol w:w="1400"/>
      </w:tblGrid>
      <w:tr>
        <w:trPr>
          <w:tblHeader w:val="true"/>
        </w:trPr>
        <w:tc>
          <w:tcPr>
            <w:tcW w:w="3400" w:type="dxa"/>
            <w:shd w:fill="D9EAF7"/>
            <w:vAlign w:val="center"/>
          </w:tcPr>
          <w:p>
            <w:pPr>
              <w:jc w:val="center"/>
            </w:pPr>
            <w:r>
              <w:rPr>
                <w:sz w:val="18"/>
                <w:rFonts w:ascii="Times New Roman" w:hAnsi="Times New Roman"/>
                <w:b/>
              </w:rPr>
              <w:t>Model/test</w:t>
            </w:r>
          </w:p>
        </w:tc>
        <w:tc>
          <w:tcPr>
            <w:tcW w:w="2600" w:type="dxa"/>
            <w:shd w:fill="D9EAF7"/>
            <w:vAlign w:val="center"/>
          </w:tcPr>
          <w:p>
            <w:pPr>
              <w:jc w:val="center"/>
            </w:pPr>
            <w:r>
              <w:rPr>
                <w:sz w:val="18"/>
                <w:rFonts w:ascii="Times New Roman" w:hAnsi="Times New Roman"/>
                <w:b/>
              </w:rPr>
              <w:t>Neutral -&gt; negative</w:t>
            </w:r>
          </w:p>
        </w:tc>
        <w:tc>
          <w:tcPr>
            <w:tcW w:w="1400" w:type="dxa"/>
            <w:shd w:fill="D9EAF7"/>
            <w:vAlign w:val="center"/>
          </w:tcPr>
          <w:p>
            <w:pPr>
              <w:jc w:val="center"/>
            </w:pPr>
            <w:r>
              <w:rPr>
                <w:sz w:val="18"/>
                <w:rFonts w:ascii="Times New Roman" w:hAnsi="Times New Roman"/>
                <w:b/>
              </w:rPr>
              <w:t>Oran</w:t>
            </w:r>
          </w:p>
        </w:tc>
      </w:tr>
      <w:tr>
        <w:tc>
          <w:tcPr>
            <w:tcW w:w="3400" w:type="dxa"/>
            <w:vAlign w:val="center"/>
          </w:tcPr>
          <w:p>
            <w:pPr>
              <w:jc w:val="left"/>
            </w:pPr>
            <w:r>
              <w:rPr>
                <w:rFonts w:ascii="Times New Roman" w:hAnsi="Times New Roman"/>
                <w:sz w:val="18"/>
              </w:rPr>
              <w:t>Internal RoBERTa</w:t>
            </w:r>
          </w:p>
        </w:tc>
        <w:tc>
          <w:tcPr>
            <w:tcW w:w="2600" w:type="dxa"/>
            <w:vAlign w:val="center"/>
          </w:tcPr>
          <w:p>
            <w:pPr>
              <w:jc w:val="left"/>
            </w:pPr>
            <w:r>
              <w:rPr>
                <w:rFonts w:ascii="Times New Roman" w:hAnsi="Times New Roman"/>
                <w:sz w:val="18"/>
              </w:rPr>
              <w:t>67 / 1.549</w:t>
            </w:r>
          </w:p>
        </w:tc>
        <w:tc>
          <w:tcPr>
            <w:tcW w:w="1400" w:type="dxa"/>
            <w:vAlign w:val="center"/>
          </w:tcPr>
          <w:p>
            <w:pPr>
              <w:jc w:val="left"/>
            </w:pPr>
            <w:r>
              <w:rPr>
                <w:rFonts w:ascii="Times New Roman" w:hAnsi="Times New Roman"/>
                <w:sz w:val="18"/>
              </w:rPr>
              <w:t>0,0433</w:t>
            </w:r>
          </w:p>
        </w:tc>
      </w:tr>
      <w:tr>
        <w:tc>
          <w:tcPr>
            <w:tcW w:w="3400" w:type="dxa"/>
            <w:vAlign w:val="center"/>
          </w:tcPr>
          <w:p>
            <w:pPr>
              <w:jc w:val="left"/>
            </w:pPr>
            <w:r>
              <w:rPr>
                <w:rFonts w:ascii="Times New Roman" w:hAnsi="Times New Roman"/>
                <w:sz w:val="18"/>
              </w:rPr>
              <w:t>Internal BERT</w:t>
            </w:r>
          </w:p>
        </w:tc>
        <w:tc>
          <w:tcPr>
            <w:tcW w:w="2600" w:type="dxa"/>
            <w:vAlign w:val="center"/>
          </w:tcPr>
          <w:p>
            <w:pPr>
              <w:jc w:val="left"/>
            </w:pPr>
            <w:r>
              <w:rPr>
                <w:rFonts w:ascii="Times New Roman" w:hAnsi="Times New Roman"/>
                <w:sz w:val="18"/>
              </w:rPr>
              <w:t>84 / 1.549</w:t>
            </w:r>
          </w:p>
        </w:tc>
        <w:tc>
          <w:tcPr>
            <w:tcW w:w="1400" w:type="dxa"/>
            <w:vAlign w:val="center"/>
          </w:tcPr>
          <w:p>
            <w:pPr>
              <w:jc w:val="left"/>
            </w:pPr>
            <w:r>
              <w:rPr>
                <w:rFonts w:ascii="Times New Roman" w:hAnsi="Times New Roman"/>
                <w:sz w:val="18"/>
              </w:rPr>
              <w:t>0,0542</w:t>
            </w:r>
          </w:p>
        </w:tc>
      </w:tr>
      <w:tr>
        <w:tc>
          <w:tcPr>
            <w:tcW w:w="3400" w:type="dxa"/>
            <w:vAlign w:val="center"/>
          </w:tcPr>
          <w:p>
            <w:pPr>
              <w:jc w:val="left"/>
            </w:pPr>
            <w:r>
              <w:rPr>
                <w:rFonts w:ascii="Times New Roman" w:hAnsi="Times New Roman"/>
                <w:sz w:val="18"/>
              </w:rPr>
              <w:t>Internal DistilBERT</w:t>
            </w:r>
          </w:p>
        </w:tc>
        <w:tc>
          <w:tcPr>
            <w:tcW w:w="2600" w:type="dxa"/>
            <w:vAlign w:val="center"/>
          </w:tcPr>
          <w:p>
            <w:pPr>
              <w:jc w:val="left"/>
            </w:pPr>
            <w:r>
              <w:rPr>
                <w:rFonts w:ascii="Times New Roman" w:hAnsi="Times New Roman"/>
                <w:sz w:val="18"/>
              </w:rPr>
              <w:t>82 / 1.549</w:t>
            </w:r>
          </w:p>
        </w:tc>
        <w:tc>
          <w:tcPr>
            <w:tcW w:w="1400" w:type="dxa"/>
            <w:vAlign w:val="center"/>
          </w:tcPr>
          <w:p>
            <w:pPr>
              <w:jc w:val="left"/>
            </w:pPr>
            <w:r>
              <w:rPr>
                <w:rFonts w:ascii="Times New Roman" w:hAnsi="Times New Roman"/>
                <w:sz w:val="18"/>
              </w:rPr>
              <w:t>0,0529</w:t>
            </w:r>
          </w:p>
        </w:tc>
      </w:tr>
      <w:tr>
        <w:tc>
          <w:tcPr>
            <w:tcW w:w="3400" w:type="dxa"/>
            <w:vAlign w:val="center"/>
          </w:tcPr>
          <w:p>
            <w:pPr>
              <w:jc w:val="left"/>
            </w:pPr>
            <w:r>
              <w:rPr>
                <w:rFonts w:ascii="Times New Roman" w:hAnsi="Times New Roman"/>
                <w:sz w:val="18"/>
              </w:rPr>
              <w:t>S&amp;P 500 Original FinBERT</w:t>
            </w:r>
          </w:p>
        </w:tc>
        <w:tc>
          <w:tcPr>
            <w:tcW w:w="2600" w:type="dxa"/>
            <w:vAlign w:val="center"/>
          </w:tcPr>
          <w:p>
            <w:pPr>
              <w:jc w:val="left"/>
            </w:pPr>
            <w:r>
              <w:rPr>
                <w:rFonts w:ascii="Times New Roman" w:hAnsi="Times New Roman"/>
                <w:sz w:val="18"/>
              </w:rPr>
              <w:t>36 / 339</w:t>
            </w:r>
          </w:p>
        </w:tc>
        <w:tc>
          <w:tcPr>
            <w:tcW w:w="1400" w:type="dxa"/>
            <w:vAlign w:val="center"/>
          </w:tcPr>
          <w:p>
            <w:pPr>
              <w:jc w:val="left"/>
            </w:pPr>
            <w:r>
              <w:rPr>
                <w:rFonts w:ascii="Times New Roman" w:hAnsi="Times New Roman"/>
                <w:sz w:val="18"/>
              </w:rPr>
              <w:t>0,1062</w:t>
            </w:r>
          </w:p>
        </w:tc>
      </w:tr>
      <w:tr>
        <w:tc>
          <w:tcPr>
            <w:tcW w:w="3400" w:type="dxa"/>
            <w:vAlign w:val="center"/>
          </w:tcPr>
          <w:p>
            <w:pPr>
              <w:jc w:val="left"/>
            </w:pPr>
            <w:r>
              <w:rPr>
                <w:rFonts w:ascii="Times New Roman" w:hAnsi="Times New Roman"/>
                <w:sz w:val="18"/>
              </w:rPr>
              <w:t>S&amp;P 500 RoBERTa</w:t>
            </w:r>
          </w:p>
        </w:tc>
        <w:tc>
          <w:tcPr>
            <w:tcW w:w="2600" w:type="dxa"/>
            <w:vAlign w:val="center"/>
          </w:tcPr>
          <w:p>
            <w:pPr>
              <w:jc w:val="left"/>
            </w:pPr>
            <w:r>
              <w:rPr>
                <w:rFonts w:ascii="Times New Roman" w:hAnsi="Times New Roman"/>
                <w:sz w:val="18"/>
              </w:rPr>
              <w:t>19 / 339</w:t>
            </w:r>
          </w:p>
        </w:tc>
        <w:tc>
          <w:tcPr>
            <w:tcW w:w="1400" w:type="dxa"/>
            <w:vAlign w:val="center"/>
          </w:tcPr>
          <w:p>
            <w:pPr>
              <w:jc w:val="left"/>
            </w:pPr>
            <w:r>
              <w:rPr>
                <w:rFonts w:ascii="Times New Roman" w:hAnsi="Times New Roman"/>
                <w:sz w:val="18"/>
              </w:rPr>
              <w:t>0,0560</w:t>
            </w:r>
          </w:p>
        </w:tc>
      </w:tr>
      <w:tr>
        <w:tc>
          <w:tcPr>
            <w:tcW w:w="3400" w:type="dxa"/>
            <w:vAlign w:val="center"/>
          </w:tcPr>
          <w:p>
            <w:pPr>
              <w:jc w:val="left"/>
            </w:pPr>
            <w:r>
              <w:rPr>
                <w:rFonts w:ascii="Times New Roman" w:hAnsi="Times New Roman"/>
                <w:sz w:val="18"/>
              </w:rPr>
              <w:t>S&amp;P 500 BERT</w:t>
            </w:r>
          </w:p>
        </w:tc>
        <w:tc>
          <w:tcPr>
            <w:tcW w:w="2600" w:type="dxa"/>
            <w:vAlign w:val="center"/>
          </w:tcPr>
          <w:p>
            <w:pPr>
              <w:jc w:val="left"/>
            </w:pPr>
            <w:r>
              <w:rPr>
                <w:rFonts w:ascii="Times New Roman" w:hAnsi="Times New Roman"/>
                <w:sz w:val="18"/>
              </w:rPr>
              <w:t>15 / 339</w:t>
            </w:r>
          </w:p>
        </w:tc>
        <w:tc>
          <w:tcPr>
            <w:tcW w:w="1400" w:type="dxa"/>
            <w:vAlign w:val="center"/>
          </w:tcPr>
          <w:p>
            <w:pPr>
              <w:jc w:val="left"/>
            </w:pPr>
            <w:r>
              <w:rPr>
                <w:rFonts w:ascii="Times New Roman" w:hAnsi="Times New Roman"/>
                <w:sz w:val="18"/>
              </w:rPr>
              <w:t>0,0442</w:t>
            </w:r>
          </w:p>
        </w:tc>
      </w:tr>
      <w:tr>
        <w:tc>
          <w:tcPr>
            <w:tcW w:w="3400" w:type="dxa"/>
            <w:vAlign w:val="center"/>
          </w:tcPr>
          <w:p>
            <w:pPr>
              <w:jc w:val="left"/>
            </w:pPr>
            <w:r>
              <w:rPr>
                <w:rFonts w:ascii="Times New Roman" w:hAnsi="Times New Roman"/>
                <w:sz w:val="18"/>
              </w:rPr>
              <w:t>S&amp;P 500 DistilBERT</w:t>
            </w:r>
          </w:p>
        </w:tc>
        <w:tc>
          <w:tcPr>
            <w:tcW w:w="2600" w:type="dxa"/>
            <w:vAlign w:val="center"/>
          </w:tcPr>
          <w:p>
            <w:pPr>
              <w:jc w:val="left"/>
            </w:pPr>
            <w:r>
              <w:rPr>
                <w:rFonts w:ascii="Times New Roman" w:hAnsi="Times New Roman"/>
                <w:sz w:val="18"/>
              </w:rPr>
              <w:t>16 / 339</w:t>
            </w:r>
          </w:p>
        </w:tc>
        <w:tc>
          <w:tcPr>
            <w:tcW w:w="1400" w:type="dxa"/>
            <w:vAlign w:val="center"/>
          </w:tcPr>
          <w:p>
            <w:pPr>
              <w:jc w:val="left"/>
            </w:pPr>
            <w:r>
              <w:rPr>
                <w:rFonts w:ascii="Times New Roman" w:hAnsi="Times New Roman"/>
                <w:sz w:val="18"/>
              </w:rPr>
              <w:t>0,0472</w:t>
            </w:r>
          </w:p>
        </w:tc>
      </w:tr>
    </w:tbl>
    <w:p>
      <w:pPr>
        <w:spacing w:line="360" w:lineRule="auto" w:after="120"/>
        <w:ind w:firstLine="720"/>
        <w:jc w:val="both"/>
      </w:pPr>
      <w:r>
        <w:rPr>
          <w:rFonts w:ascii="Times New Roman" w:hAnsi="Times New Roman"/>
          <w:sz w:val="24"/>
        </w:rPr>
        <w:t>Örnek hata başlıkları özellikle karışık sinyal taşıyan veya piyasa yönü açık olmayan haberlerde yoğunlaşmaktadır: 'S&amp;P 500 Gains and Losses Today: NetApp and GM Rise; Hormel and Las Vegas Sands Fall' hem yükselen hem düşen hisseleri içerdiği için neutral kabul edilmiştir, ancak FinBERT negative tahmin etmiştir. 'Strong corporate earnings are helping the US avoid a recession - but there are 2 big risks facing markets...' olumlu ve riskli unsurları birlikte taşıdığı için neutral/karışık kabul edilmiştir. 'AP Explains: What resignation of New Zealand's leader means' ise finansal yön içermeyen siyasi/açıklayıcı bir başlık olmasına rağmen negative tahmin edilmiştir.</w:t>
      </w:r>
    </w:p>
    <w:p>
      <w:pPr>
        <w:pStyle w:val="Heading2"/>
      </w:pPr>
      <w:r>
        <w:rPr>
          <w:rFonts w:ascii="Times New Roman" w:hAnsi="Times New Roman"/>
        </w:rPr>
        <w:t>C.6. Zero-Shot ve Sentetik Veri Yorumu</w:t>
      </w:r>
    </w:p>
    <w:p>
      <w:pPr>
        <w:spacing w:line="360" w:lineRule="auto" w:after="120"/>
        <w:ind w:firstLine="720"/>
        <w:jc w:val="both"/>
      </w:pPr>
      <w:r>
        <w:t>Tamamlayıcı/keşifsel sıfır örnekli deneylerde BART-large-MNLI, S&amp;P 500 üzerinde 0,6594 doğruluk ve 0,5580 makro F1 ile bu model grubu içindeki en iyi sonucu vermiştir. Buna rağmen tarafsız sınıf F1 değeri 0,1199 düzeyinde kalmış; diğer NLI/MNLI modellerinde daha da düşük değerler gözlenmiştir. Bu sonuç, sıfır örnekli yaklaşımın etiketli veri bulunmadığında bir başlangıç ölçütü sağlayabildiğini, ancak finansal tarafsızlık tanımını öğrenmeden ana denetimli modellerin yerine geçemediğini göstermektedir.</w:t>
      </w:r>
    </w:p>
    <w:p>
      <w:pPr>
        <w:spacing w:line="360" w:lineRule="auto" w:after="120"/>
        <w:ind w:firstLine="720"/>
        <w:jc w:val="both"/>
      </w:pPr>
      <w:r>
        <w:rPr>
          <w:rFonts w:ascii="Times New Roman" w:hAnsi="Times New Roman"/>
          <w:sz w:val="24"/>
        </w:rPr>
        <w:t>Sentetik veri sonuçları da tabloya eklenmiştir. Tüm modeller sentetik sette 0,9551 ile 0,9957 arasında makro F1 üretmiştir. Bu yüksek değerler, sentetik örneklerde duygu ipuçlarının açık olmasından kaynaklanabilir; bu nedenle sentetik test gerçek Reuters ve S&amp;P 500 dış testlerinin yerine geçmemeli, yalnızca kontrollü bir stres testi olarak yorumlanmalıdır.</w:t>
      </w:r>
    </w:p>
    <w:sectPr w:rsidR="00FC693F" w:rsidRPr="0006063C" w:rsidSect="00034616">
      <w:footerReference w:type="default" ns5:id="rId11"/>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Finansal Metinlerde Duygu Analizi - Tez Taslağı</dc:title>
  <dc:subject>FinBERT, ince ayarlı Transformer ve sıfır örnekli modellerin karşılaştırılması</dc:subject>
  <dc:creator>[AD SOYAD]</dc:creator>
  <cp:keywords>FinBERT, RoBERTa, BERT, finansal duygu analizi</cp:keywords>
  <dc:description>generated by python-docx</dc:description>
  <cp:lastModifiedBy/>
  <cp:revision>1</cp:revision>
  <dcterms:created xsi:type="dcterms:W3CDTF">2013-12-23T23:15:00Z</dcterms:created>
  <dcterms:modified xsi:type="dcterms:W3CDTF">2013-12-23T23:15:00Z</dcterms:modified>
  <cp:category/>
</cp:coreProperties>
</file>