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320"/>
      </w:pPr>
      <w:r>
        <w:t xml:space="preserve"/>
      </w:r>
    </w:p>
    <w:p>
      <w:pPr>
        <w:spacing w:after="90"/>
        <w:jc w:val="left"/>
      </w:pPr>
      <w:r>
        <w:drawing>
          <wp:inline distT="0" distB="0" distL="0" distR="0">
            <wp:extent cx="1438275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94513" w:sz="12" w:space="1"/>
        </w:pBdr>
        <w:spacing w:after="0"/>
      </w:pPr>
      <w:r>
        <w:t xml:space="preserve"/>
      </w:r>
    </w:p>
    <w:p>
      <w:pPr>
        <w:spacing w:after="5000"/>
      </w:pPr>
      <w:r>
        <w:t xml:space="preserve"/>
      </w:r>
    </w:p>
    <w:p>
      <w:pPr>
        <w:spacing w:after="120"/>
      </w:pPr>
      <w:r>
        <w:rPr>
          <w:rFonts w:ascii="Space Grotesk" w:cs="Space Grotesk" w:eastAsia="Space Grotesk" w:hAnsi="Space Grotesk"/>
          <w:b/>
          <w:bCs/>
          <w:color w:val="E94513"/>
          <w:spacing w:val="-12"/>
          <w:sz w:val="56"/>
          <w:szCs w:val="56"/>
        </w:rPr>
        <w:t xml:space="preserve">Informe de Acompañamiento Territorial</w:t>
      </w:r>
    </w:p>
    <w:p>
      <w:pPr>
        <w:spacing w:after="70"/>
      </w:pPr>
      <w:r>
        <w:rPr>
          <w:rFonts w:ascii="Calibri" w:cs="Calibri" w:eastAsia="Calibri" w:hAnsi="Calibri"/>
          <w:color w:val="333333"/>
          <w:sz w:val="28"/>
          <w:szCs w:val="28"/>
        </w:rPr>
        <w:t xml:space="preserve">Comunidades del medio y bajo Caquetá · Amazonía colombiana</w:t>
      </w:r>
    </w:p>
    <w:p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Nuestro centro es la periferia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 w:before="120"/>
      </w:pPr>
      <w:r>
        <w:rPr>
          <w:rFonts w:ascii="Space Grotesk" w:cs="Space Grotesk" w:eastAsia="Space Grotesk" w:hAnsi="Space Grotesk"/>
          <w:b/>
          <w:bCs/>
          <w:color w:val="E94513"/>
          <w:sz w:val="44"/>
          <w:szCs w:val="44"/>
        </w:rPr>
        <w:t xml:space="preserve">El camino con las comunidades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Un discurso que se come, se bebe y se respira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Durante el primer semestre de 2026, FUCAI acompañó a 14 comunidades en la recuperación de sus chagras y en el fortalecimiento de su guardia. El trabajo partió de lo que las comunidades ya saben y querían potenciar, no de una agenda externa.</w:t>
      </w:r>
    </w:p>
    <w:p>
      <w:pPr>
        <w:spacing w:after="0" w:before="80"/>
      </w:pPr>
      <w:r>
        <w:rPr>
          <w:rFonts w:ascii="Space Grotesk" w:cs="Space Grotesk" w:eastAsia="Space Grotesk" w:hAnsi="Space Grotesk"/>
          <w:b/>
          <w:bCs/>
          <w:color w:val="E94513"/>
          <w:sz w:val="96"/>
          <w:szCs w:val="96"/>
        </w:rPr>
        <w:t xml:space="preserve">423</w:t>
      </w:r>
    </w:p>
    <w:p>
      <w:pPr>
        <w:spacing w:after="2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familias fortalecieron su soberanía alimentaria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single" w:color="E94513" w:sz="24" w:space="6"/>
              <w:bottom w:val="none"/>
              <w:right w:val="none"/>
            </w:tcBorders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24"/>
                <w:szCs w:val="24"/>
              </w:rPr>
              <w:t xml:space="preserve">Volvimos a sembrar en la chagra lo que nuestras abuelas sembraban. El territorio nos reconoce de nuevo.</w:t>
            </w:r>
          </w:p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— Mujer mayor, pueblo Uitoto, La Chorrera, 2026</w:t>
            </w:r>
          </w:p>
        </w:tc>
      </w:tr>
    </w:tbl>
    <w:p>
      <w:pPr>
        <w:spacing w:after="320"/>
      </w:pPr>
      <w:r>
        <w:t xml:space="preserve"/>
      </w:r>
    </w:p>
    <w:p>
      <w:pPr>
        <w:spacing w:after="100" w:before="120"/>
      </w:pPr>
      <w:r>
        <w:rPr>
          <w:rFonts w:ascii="Space Grotesk" w:cs="Space Grotesk" w:eastAsia="Space Grotesk" w:hAnsi="Space Grotesk"/>
          <w:b/>
          <w:bCs/>
          <w:color w:val="E94513"/>
          <w:sz w:val="32"/>
          <w:szCs w:val="32"/>
        </w:rPr>
        <w:t xml:space="preserve">Cobertura por territorio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E9451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Territorio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9451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Comunidades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9451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Familias</w:t>
            </w:r>
          </w:p>
        </w:tc>
      </w:tr>
      <w:tr>
        <w:tc>
          <w:tcPr>
            <w:tcBorders>
              <w:top w:val="none"/>
              <w:left w:val="none"/>
              <w:bottom w:val="single" w:color="CCCCCC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Bajo Caquetá</w:t>
            </w:r>
          </w:p>
        </w:tc>
        <w:tc>
          <w:tcPr>
            <w:tcBorders>
              <w:top w:val="none"/>
              <w:left w:val="none"/>
              <w:bottom w:val="single" w:color="CCCCCC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none"/>
              <w:left w:val="none"/>
              <w:bottom w:val="single" w:color="CCCCCC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184</w:t>
            </w:r>
          </w:p>
        </w:tc>
      </w:tr>
      <w:tr>
        <w:tc>
          <w:tcPr>
            <w:tcBorders>
              <w:top w:val="none"/>
              <w:left w:val="none"/>
              <w:bottom w:val="single" w:color="CCCCCC" w:sz="4"/>
              <w:right w:val="none"/>
            </w:tcBorders>
            <w:shd w:fill="F6F3E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Medio Caquetá</w:t>
            </w:r>
          </w:p>
        </w:tc>
        <w:tc>
          <w:tcPr>
            <w:tcBorders>
              <w:top w:val="none"/>
              <w:left w:val="none"/>
              <w:bottom w:val="single" w:color="CCCCCC" w:sz="4"/>
              <w:right w:val="none"/>
            </w:tcBorders>
            <w:shd w:fill="F6F3E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single" w:color="CCCCCC" w:sz="4"/>
              <w:right w:val="none"/>
            </w:tcBorders>
            <w:shd w:fill="F6F3E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142</w:t>
            </w:r>
          </w:p>
        </w:tc>
      </w:tr>
      <w:tr>
        <w:tc>
          <w:tcPr>
            <w:tcBorders>
              <w:top w:val="none"/>
              <w:left w:val="none"/>
              <w:bottom w:val="single" w:color="CCCCCC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 Chorrera</w:t>
            </w:r>
          </w:p>
        </w:tc>
        <w:tc>
          <w:tcPr>
            <w:tcBorders>
              <w:top w:val="none"/>
              <w:left w:val="none"/>
              <w:bottom w:val="single" w:color="CCCCCC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single" w:color="CCCCCC" w:sz="4"/>
              <w:right w:val="none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97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600"/>
      </w:pPr>
      <w:r>
        <w:t xml:space="preserve"/>
      </w:r>
    </w:p>
    <w:p>
      <w:pPr>
        <w:spacing w:after="240"/>
        <w:jc w:val="center"/>
      </w:pPr>
      <w:r>
        <w:drawing>
          <wp:inline distT="0" distB="0" distL="0" distR="0">
            <wp:extent cx="17145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pace Grotesk" w:cs="Space Grotesk" w:eastAsia="Space Grotesk" w:hAnsi="Space Grotesk"/>
          <w:b/>
          <w:bCs/>
          <w:i/>
          <w:iCs/>
          <w:color w:val="E94513"/>
          <w:sz w:val="32"/>
          <w:szCs w:val="32"/>
        </w:rPr>
        <w:t xml:space="preserve">Nuestro centro es la periferia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Fundación Caminos de Identidad — FUCAI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www.fucaicolombia.org · comunicaciones@fucaicolombia.org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NIT 800.173.574-1</w:t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rPr>
        <w:trHeight w:val="1700" w:hRule="atLeast"/>
      </w:trPr>
      <w:tc>
        <w:tcPr>
          <w:tcBorders>
            <w:top w:val="none"/>
            <w:left w:val="none"/>
            <w:bottom w:val="none"/>
            <w:right w:val="none"/>
          </w:tcBorders>
          <w:shd w:fill="EDE8D3" w:color="auto" w:val="clear"/>
          <w:tcMar>
            <w:top w:type="dxa" w:w="180"/>
            <w:left w:type="dxa" w:w="300"/>
            <w:bottom w:type="dxa" w:w="180"/>
            <w:right w:type="dxa" w:w="300"/>
          </w:tcMar>
          <w:vAlign w:val="center"/>
        </w:tcPr>
        <w:p>
          <w:pPr>
            <w:spacing w:after="50"/>
          </w:pPr>
          <w:r>
            <w:rPr>
              <w:rFonts w:ascii="Calibri" w:cs="Calibri" w:eastAsia="Calibri" w:hAnsi="Calibri"/>
              <w:color w:val="333333"/>
              <w:sz w:val="22"/>
              <w:szCs w:val="22"/>
            </w:rPr>
            <w:t xml:space="preserve">Junio 2026</w:t>
          </w:r>
        </w:p>
        <w:p>
          <w:pPr>
            <w:spacing w:after="50"/>
          </w:pPr>
          <w:r>
            <w:rPr>
              <w:rFonts w:ascii="Calibri" w:cs="Calibri" w:eastAsia="Calibri" w:hAnsi="Calibri"/>
              <w:color w:val="333333"/>
              <w:sz w:val="22"/>
              <w:szCs w:val="22"/>
            </w:rPr>
            <w:t xml:space="preserve">Proyecto CC217 Naane (OIKOS–AICS)</w:t>
          </w:r>
        </w:p>
        <w:p>
          <w:r>
            <w:rPr>
              <w:rFonts w:ascii="Calibri" w:cs="Calibri" w:eastAsia="Calibri" w:hAnsi="Calibri"/>
              <w:i/>
              <w:iCs/>
              <w:color w:val="E94513"/>
              <w:sz w:val="22"/>
              <w:szCs w:val="22"/>
            </w:rPr>
            <w:t xml:space="preserve">Nuestro centro es la periferia</w:t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4513" w:sz="24"/>
      </w:pBdr>
      <w:spacing w:before="100"/>
      <w:jc w:val="center"/>
    </w:pPr>
    <w:r>
      <w:rPr>
        <w:rFonts w:ascii="Calibri" w:cs="Calibri" w:eastAsia="Calibri" w:hAnsi="Calibri"/>
        <w:i/>
        <w:iCs/>
        <w:color w:val="333333"/>
        <w:sz w:val="16"/>
        <w:szCs w:val="16"/>
      </w:rPr>
      <w:t xml:space="preserve">Fundación Caminos de Identidad – FUCAI | www.fucaicolombia.org</w:t>
    </w:r>
  </w:p>
  <w:p>
    <w:pPr>
      <w:jc w:val="right"/>
    </w:pPr>
    <w:r>
      <w:rPr>
        <w:rFonts w:ascii="Calibri" w:cs="Calibri" w:eastAsia="Calibri" w:hAnsi="Calibri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rPr>
        <w:trHeight w:val="440" w:hRule="atLeast"/>
      </w:trPr>
      <w:tc>
        <w:tcPr>
          <w:tcBorders>
            <w:top w:val="none"/>
            <w:left w:val="none"/>
            <w:bottom w:val="none"/>
            <w:right w:val="none"/>
          </w:tcBorders>
          <w:shd w:fill="E94513" w:color="auto" w:val="clear"/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color w:val="FFFFFF"/>
              <w:sz w:val="18"/>
              <w:szCs w:val="18"/>
            </w:rPr>
            <w:t xml:space="preserve">www.fucaicolombia.org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13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Fundación Caminos de Identidad — FUCAI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206e1ddc61e35a598e23c65abef5ce8c8105194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2026-06-18T11:05:14.043Z</dcterms:created>
  <dcterms:modified xsi:type="dcterms:W3CDTF">2026-06-18T11:05:14.045Z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