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1F5A" w14:textId="0557B281" w:rsidR="009416F2" w:rsidRPr="00FC332C" w:rsidRDefault="008C0AED">
      <w:pPr>
        <w:rPr>
          <w:sz w:val="22"/>
          <w:szCs w:val="22"/>
        </w:rPr>
      </w:pPr>
      <w:r w:rsidRPr="00FC332C">
        <w:rPr>
          <w:sz w:val="22"/>
          <w:szCs w:val="22"/>
        </w:rPr>
        <w:t>Destinos</w:t>
      </w:r>
    </w:p>
    <w:p w14:paraId="48556C4F" w14:textId="67716771" w:rsidR="008C0AED" w:rsidRPr="00FC332C" w:rsidRDefault="00AF2563">
      <w:pPr>
        <w:rPr>
          <w:sz w:val="22"/>
          <w:szCs w:val="22"/>
        </w:rPr>
      </w:pPr>
      <w:r w:rsidRPr="00AF2563">
        <w:rPr>
          <w:sz w:val="22"/>
          <w:szCs w:val="22"/>
        </w:rPr>
        <w:t>O número de destinos distintos sofre uma variação cíclica, com períodos típicos de 7, 3 e 2 dias e amplitude absoluta de 7 destinos para o último ano fechado (2025), enquanto esse valor para a Azul foi de 25 destinos. A frequência desses períodos é muito característica nos dados da Gol, corroborando a hipótese de uma construção de malha baseada em semana típica.</w:t>
      </w:r>
    </w:p>
    <w:tbl>
      <w:tblPr>
        <w:tblStyle w:val="TableGrid"/>
        <w:tblW w:w="10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18"/>
      </w:tblGrid>
      <w:tr w:rsidR="000A21F3" w:rsidRPr="00FC332C" w14:paraId="30136F4D" w14:textId="77777777" w:rsidTr="002F279F">
        <w:trPr>
          <w:trHeight w:val="3471"/>
        </w:trPr>
        <w:tc>
          <w:tcPr>
            <w:tcW w:w="5220" w:type="dxa"/>
          </w:tcPr>
          <w:p w14:paraId="1087D3A4" w14:textId="2E1D8A10" w:rsidR="000A21F3" w:rsidRPr="00FC332C" w:rsidRDefault="000A21F3">
            <w:pPr>
              <w:rPr>
                <w:sz w:val="22"/>
                <w:szCs w:val="22"/>
              </w:rPr>
            </w:pPr>
            <w:r w:rsidRPr="00FC332C">
              <w:rPr>
                <w:noProof/>
                <w:sz w:val="22"/>
                <w:szCs w:val="22"/>
              </w:rPr>
              <w:drawing>
                <wp:inline distT="0" distB="0" distL="0" distR="0" wp14:anchorId="3E46530A" wp14:editId="7751DE23">
                  <wp:extent cx="3238500" cy="2014160"/>
                  <wp:effectExtent l="0" t="0" r="0" b="5715"/>
                  <wp:docPr id="13983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3032" name="Picture 13983630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4854" cy="2049209"/>
                          </a:xfrm>
                          <a:prstGeom prst="rect">
                            <a:avLst/>
                          </a:prstGeom>
                        </pic:spPr>
                      </pic:pic>
                    </a:graphicData>
                  </a:graphic>
                </wp:inline>
              </w:drawing>
            </w:r>
          </w:p>
        </w:tc>
        <w:tc>
          <w:tcPr>
            <w:tcW w:w="5222" w:type="dxa"/>
          </w:tcPr>
          <w:p w14:paraId="45CEF82B" w14:textId="45A3CFA1" w:rsidR="000A21F3" w:rsidRPr="00FC332C" w:rsidRDefault="000A21F3">
            <w:pPr>
              <w:rPr>
                <w:sz w:val="22"/>
                <w:szCs w:val="22"/>
              </w:rPr>
            </w:pPr>
            <w:r w:rsidRPr="00FC332C">
              <w:rPr>
                <w:noProof/>
                <w:sz w:val="22"/>
                <w:szCs w:val="22"/>
              </w:rPr>
              <w:drawing>
                <wp:inline distT="0" distB="0" distL="0" distR="0" wp14:anchorId="386130A0" wp14:editId="1A63877F">
                  <wp:extent cx="3219450" cy="2002311"/>
                  <wp:effectExtent l="0" t="0" r="0" b="0"/>
                  <wp:docPr id="132958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8773" name="Picture 1329587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5218" cy="2036996"/>
                          </a:xfrm>
                          <a:prstGeom prst="rect">
                            <a:avLst/>
                          </a:prstGeom>
                        </pic:spPr>
                      </pic:pic>
                    </a:graphicData>
                  </a:graphic>
                </wp:inline>
              </w:drawing>
            </w:r>
          </w:p>
        </w:tc>
      </w:tr>
      <w:tr w:rsidR="000A21F3" w:rsidRPr="00FC332C" w14:paraId="23B300F5" w14:textId="77777777" w:rsidTr="002F279F">
        <w:trPr>
          <w:trHeight w:val="285"/>
        </w:trPr>
        <w:tc>
          <w:tcPr>
            <w:tcW w:w="5220" w:type="dxa"/>
          </w:tcPr>
          <w:p w14:paraId="1D666EE0" w14:textId="2941B155" w:rsidR="000A21F3" w:rsidRPr="00FC332C" w:rsidRDefault="000A21F3" w:rsidP="000A21F3">
            <w:pPr>
              <w:rPr>
                <w:i/>
                <w:iCs/>
                <w:noProof/>
                <w:sz w:val="20"/>
                <w:szCs w:val="20"/>
              </w:rPr>
            </w:pPr>
            <w:r w:rsidRPr="00FC332C">
              <w:rPr>
                <w:i/>
                <w:iCs/>
                <w:noProof/>
                <w:sz w:val="20"/>
                <w:szCs w:val="20"/>
              </w:rPr>
              <w:t>Fig1(a): Períodos típicos de destinos para a Gol</w:t>
            </w:r>
          </w:p>
        </w:tc>
        <w:tc>
          <w:tcPr>
            <w:tcW w:w="5222" w:type="dxa"/>
          </w:tcPr>
          <w:p w14:paraId="7DB85572" w14:textId="4E750F57" w:rsidR="000A21F3" w:rsidRPr="00FC332C" w:rsidRDefault="000A21F3" w:rsidP="000A21F3">
            <w:pPr>
              <w:rPr>
                <w:noProof/>
                <w:sz w:val="20"/>
                <w:szCs w:val="20"/>
              </w:rPr>
            </w:pPr>
            <w:r w:rsidRPr="00FC332C">
              <w:rPr>
                <w:i/>
                <w:iCs/>
                <w:noProof/>
                <w:sz w:val="20"/>
                <w:szCs w:val="20"/>
              </w:rPr>
              <w:t>Fig1(</w:t>
            </w:r>
            <w:r w:rsidR="00FC332C" w:rsidRPr="00FC332C">
              <w:rPr>
                <w:i/>
                <w:iCs/>
                <w:noProof/>
                <w:sz w:val="20"/>
                <w:szCs w:val="20"/>
              </w:rPr>
              <w:t>b</w:t>
            </w:r>
            <w:r w:rsidRPr="00FC332C">
              <w:rPr>
                <w:i/>
                <w:iCs/>
                <w:noProof/>
                <w:sz w:val="20"/>
                <w:szCs w:val="20"/>
              </w:rPr>
              <w:t>): Períodos típicos de destinos para a Azul</w:t>
            </w:r>
          </w:p>
        </w:tc>
      </w:tr>
    </w:tbl>
    <w:p w14:paraId="6DF243E8" w14:textId="77777777" w:rsidR="000A21F3" w:rsidRPr="00FC332C" w:rsidRDefault="008C0AED">
      <w:pPr>
        <w:rPr>
          <w:sz w:val="22"/>
          <w:szCs w:val="22"/>
        </w:rPr>
      </w:pPr>
      <w:r w:rsidRPr="00FC332C">
        <w:rPr>
          <w:sz w:val="22"/>
          <w:szCs w:val="22"/>
        </w:rPr>
        <w:t xml:space="preserve"> </w:t>
      </w:r>
    </w:p>
    <w:p w14:paraId="3C3A436A" w14:textId="00E1E371" w:rsidR="00AF2563" w:rsidRPr="00AF2563" w:rsidRDefault="00AF2563" w:rsidP="00AF2563">
      <w:pPr>
        <w:rPr>
          <w:sz w:val="22"/>
          <w:szCs w:val="22"/>
        </w:rPr>
      </w:pPr>
      <w:r w:rsidRPr="00AF2563">
        <w:rPr>
          <w:sz w:val="22"/>
          <w:szCs w:val="22"/>
        </w:rPr>
        <w:t>Os dados da Azul apresentam uma distribuição de ciclos muito mais difusa, indicando uma malha mais complexa e construída de maneira mais flexível e específica.</w:t>
      </w:r>
    </w:p>
    <w:p w14:paraId="2CB2AB73" w14:textId="22390783" w:rsidR="00AF2563" w:rsidRDefault="00AF2563" w:rsidP="00AF2563">
      <w:pPr>
        <w:rPr>
          <w:sz w:val="22"/>
          <w:szCs w:val="22"/>
        </w:rPr>
      </w:pPr>
      <w:r w:rsidRPr="00AF2563">
        <w:rPr>
          <w:sz w:val="22"/>
          <w:szCs w:val="22"/>
        </w:rPr>
        <w:t>Essa contraposição traz desafios e oportunidades para ambas as empresas. A construção da malha da Gol oferece a possibilidade de estruturar processos de gestão da malha e planejamento de manutenção de forma muito mais reprodutível, facilitando o aumento da eficiência dos processos internos. Porém, torna a malha e os processos menos flexíveis e adaptáveis, principalmente em cenários de mudanças rápidas e constantes.</w:t>
      </w:r>
    </w:p>
    <w:p w14:paraId="2DA9A44E" w14:textId="77777777" w:rsidR="00AF2563" w:rsidRPr="00FC332C" w:rsidRDefault="00AF2563" w:rsidP="00AF2563">
      <w:pPr>
        <w:rPr>
          <w:sz w:val="22"/>
          <w:szCs w:val="22"/>
        </w:rPr>
      </w:pPr>
    </w:p>
    <w:p w14:paraId="4CB08FA8" w14:textId="023A488A" w:rsidR="003A1E3E" w:rsidRPr="00FC332C" w:rsidRDefault="003A1E3E" w:rsidP="003A1E3E">
      <w:pPr>
        <w:spacing w:after="0"/>
        <w:rPr>
          <w:i/>
          <w:iCs/>
          <w:noProof/>
          <w:sz w:val="20"/>
          <w:szCs w:val="20"/>
        </w:rPr>
      </w:pPr>
      <w:r w:rsidRPr="00FC332C">
        <w:rPr>
          <w:i/>
          <w:iCs/>
          <w:noProof/>
          <w:sz w:val="20"/>
          <w:szCs w:val="20"/>
        </w:rPr>
        <w:t>Tabela 1: Valores médios de destinos distisntos ao longo dos anos de 2021 até 2026, sua variação , desvio padrão da variação e o erro padrão porcentual.</w:t>
      </w:r>
    </w:p>
    <w:p w14:paraId="17AA67C9" w14:textId="59A532D3" w:rsidR="00B82781" w:rsidRPr="00FC332C" w:rsidRDefault="00674AEF">
      <w:pPr>
        <w:rPr>
          <w:sz w:val="22"/>
          <w:szCs w:val="22"/>
        </w:rPr>
      </w:pPr>
      <w:r w:rsidRPr="00FC332C">
        <w:rPr>
          <w:noProof/>
          <w:sz w:val="22"/>
          <w:szCs w:val="22"/>
        </w:rPr>
        <w:drawing>
          <wp:inline distT="0" distB="0" distL="0" distR="0" wp14:anchorId="0351EFB4" wp14:editId="7E5F21ED">
            <wp:extent cx="6629400" cy="1966835"/>
            <wp:effectExtent l="0" t="0" r="0" b="0"/>
            <wp:docPr id="801133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0815" cy="1982089"/>
                    </a:xfrm>
                    <a:prstGeom prst="rect">
                      <a:avLst/>
                    </a:prstGeom>
                    <a:noFill/>
                    <a:ln>
                      <a:noFill/>
                    </a:ln>
                  </pic:spPr>
                </pic:pic>
              </a:graphicData>
            </a:graphic>
          </wp:inline>
        </w:drawing>
      </w:r>
    </w:p>
    <w:p w14:paraId="12AB035E" w14:textId="185531DE" w:rsidR="003A1E3E" w:rsidRPr="00FC332C" w:rsidRDefault="00AF2563">
      <w:pPr>
        <w:rPr>
          <w:sz w:val="22"/>
          <w:szCs w:val="22"/>
        </w:rPr>
      </w:pPr>
      <w:r w:rsidRPr="00AF2563">
        <w:rPr>
          <w:sz w:val="22"/>
          <w:szCs w:val="22"/>
        </w:rPr>
        <w:t>O número de destinos distintos na Gol vem aumentando progressivamente ao longo dos anos. Entretanto, os dados mostram uma tendência de diminuição para o ano de 2026, em contraste com o aumento da amplitude desses destinos. Esses dados indicam uma possível ampliação do atendimento a mercados específicos, porém com refinamento para destinos mais estratégicos. A visualização desse processo ao longo do tempo pode ser observada no gráfico da Figura 2.</w:t>
      </w:r>
    </w:p>
    <w:p w14:paraId="15689DD5" w14:textId="77777777" w:rsidR="003A1E3E" w:rsidRPr="00FC332C" w:rsidRDefault="003A1E3E">
      <w:pPr>
        <w:rPr>
          <w:sz w:val="22"/>
          <w:szCs w:val="22"/>
        </w:rPr>
      </w:pPr>
    </w:p>
    <w:p w14:paraId="2B41A307" w14:textId="050CEE3B" w:rsidR="003A1E3E" w:rsidRPr="00FC332C" w:rsidRDefault="003A1E3E">
      <w:pPr>
        <w:rPr>
          <w:sz w:val="22"/>
          <w:szCs w:val="22"/>
        </w:rPr>
      </w:pPr>
      <w:r w:rsidRPr="00FC332C">
        <w:rPr>
          <w:noProof/>
          <w:sz w:val="22"/>
          <w:szCs w:val="22"/>
        </w:rPr>
        <w:lastRenderedPageBreak/>
        <w:drawing>
          <wp:inline distT="0" distB="0" distL="0" distR="0" wp14:anchorId="5C1BFB37" wp14:editId="5D2E0798">
            <wp:extent cx="6504317" cy="3219221"/>
            <wp:effectExtent l="0" t="0" r="0" b="635"/>
            <wp:docPr id="367021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1088" name="Picture 3670210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8985" cy="3221531"/>
                    </a:xfrm>
                    <a:prstGeom prst="rect">
                      <a:avLst/>
                    </a:prstGeom>
                  </pic:spPr>
                </pic:pic>
              </a:graphicData>
            </a:graphic>
          </wp:inline>
        </w:drawing>
      </w:r>
    </w:p>
    <w:p w14:paraId="0E4471E3" w14:textId="34EE01B0" w:rsidR="003A1E3E" w:rsidRPr="00FC332C" w:rsidRDefault="003A1E3E">
      <w:pPr>
        <w:rPr>
          <w:sz w:val="18"/>
          <w:szCs w:val="18"/>
        </w:rPr>
      </w:pPr>
      <w:r w:rsidRPr="00FC332C">
        <w:rPr>
          <w:i/>
          <w:iCs/>
          <w:noProof/>
          <w:sz w:val="18"/>
          <w:szCs w:val="18"/>
        </w:rPr>
        <w:t xml:space="preserve">Fig 2: O valor médio de destinos distintos </w:t>
      </w:r>
      <w:r w:rsidR="00BE4350" w:rsidRPr="00FC332C">
        <w:rPr>
          <w:i/>
          <w:iCs/>
          <w:noProof/>
          <w:sz w:val="18"/>
          <w:szCs w:val="18"/>
        </w:rPr>
        <w:t>acumulados semanalmente e o desvio padrão  desses dados para os anos de 2026 até 2021.</w:t>
      </w:r>
    </w:p>
    <w:p w14:paraId="47663CE4" w14:textId="77777777" w:rsidR="00FC332C" w:rsidRDefault="00FC332C">
      <w:pPr>
        <w:rPr>
          <w:sz w:val="22"/>
          <w:szCs w:val="22"/>
        </w:rPr>
      </w:pPr>
    </w:p>
    <w:p w14:paraId="0CB429B6" w14:textId="77777777" w:rsidR="00AF2563" w:rsidRDefault="00AF2563" w:rsidP="0043475D">
      <w:pPr>
        <w:rPr>
          <w:sz w:val="22"/>
          <w:szCs w:val="22"/>
        </w:rPr>
      </w:pPr>
      <w:r w:rsidRPr="00AF2563">
        <w:rPr>
          <w:sz w:val="22"/>
          <w:szCs w:val="22"/>
        </w:rPr>
        <w:t>Com destaque para a uniformização dos tamanhos das barras de variância em 2025 e 2026, observa-se uma maior homogeneidade nos ciclos dos destinos atendidos. Essa uniformização é mais bem observada quando analisamos os períodos característicos no espaço de frequências, conforme apresentado na Transformada de Fourier da Figura 3.</w:t>
      </w:r>
    </w:p>
    <w:p w14:paraId="6E85791C" w14:textId="1BF1220E" w:rsidR="0043475D" w:rsidRPr="00FC332C" w:rsidRDefault="0043475D" w:rsidP="0043475D">
      <w:pPr>
        <w:rPr>
          <w:sz w:val="22"/>
          <w:szCs w:val="22"/>
        </w:rPr>
      </w:pPr>
      <w:r w:rsidRPr="00FC332C">
        <w:rPr>
          <w:noProof/>
          <w:sz w:val="22"/>
          <w:szCs w:val="22"/>
        </w:rPr>
        <w:drawing>
          <wp:inline distT="0" distB="0" distL="0" distR="0" wp14:anchorId="4DDF5923" wp14:editId="08F5EA66">
            <wp:extent cx="6645910" cy="3945890"/>
            <wp:effectExtent l="0" t="0" r="2540" b="0"/>
            <wp:docPr id="996962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2798" name="Picture 9969627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945890"/>
                    </a:xfrm>
                    <a:prstGeom prst="rect">
                      <a:avLst/>
                    </a:prstGeom>
                  </pic:spPr>
                </pic:pic>
              </a:graphicData>
            </a:graphic>
          </wp:inline>
        </w:drawing>
      </w:r>
      <w:r w:rsidRPr="00FC332C">
        <w:rPr>
          <w:i/>
          <w:iCs/>
          <w:noProof/>
          <w:sz w:val="18"/>
          <w:szCs w:val="18"/>
        </w:rPr>
        <w:t xml:space="preserve">Fig </w:t>
      </w:r>
      <w:r w:rsidR="00960758" w:rsidRPr="00FC332C">
        <w:rPr>
          <w:i/>
          <w:iCs/>
          <w:noProof/>
          <w:sz w:val="18"/>
          <w:szCs w:val="18"/>
        </w:rPr>
        <w:t>3</w:t>
      </w:r>
      <w:r w:rsidRPr="00FC332C">
        <w:rPr>
          <w:i/>
          <w:iCs/>
          <w:noProof/>
          <w:sz w:val="18"/>
          <w:szCs w:val="18"/>
        </w:rPr>
        <w:t xml:space="preserve">: </w:t>
      </w:r>
      <w:r w:rsidR="00AF2563">
        <w:rPr>
          <w:i/>
          <w:iCs/>
          <w:noProof/>
          <w:sz w:val="18"/>
          <w:szCs w:val="18"/>
        </w:rPr>
        <w:t>Frenquência dos períodos mais característicos dos indicadores de destinos distintos para a Gol por ano.</w:t>
      </w:r>
    </w:p>
    <w:p w14:paraId="25228217" w14:textId="63849BF3" w:rsidR="00FB56E4" w:rsidRPr="00FC332C" w:rsidRDefault="00FB56E4">
      <w:pPr>
        <w:rPr>
          <w:sz w:val="22"/>
          <w:szCs w:val="22"/>
        </w:rPr>
      </w:pPr>
    </w:p>
    <w:p w14:paraId="3DA84194" w14:textId="06446E16" w:rsidR="00960758" w:rsidRPr="00FC332C" w:rsidRDefault="00FB56E4" w:rsidP="00960758">
      <w:pPr>
        <w:rPr>
          <w:sz w:val="22"/>
          <w:szCs w:val="22"/>
        </w:rPr>
      </w:pPr>
      <w:r w:rsidRPr="00FC332C">
        <w:rPr>
          <w:sz w:val="22"/>
          <w:szCs w:val="22"/>
        </w:rPr>
        <w:lastRenderedPageBreak/>
        <w:t>Buscando observar alguma padrão de distribuição geográfica dos destinos que mais consistemente entram e saem dos oferencimentos dos destino</w:t>
      </w:r>
      <w:r w:rsidR="0043475D" w:rsidRPr="00FC332C">
        <w:rPr>
          <w:sz w:val="22"/>
          <w:szCs w:val="22"/>
        </w:rPr>
        <w:t>s</w:t>
      </w:r>
      <w:r w:rsidRPr="00FC332C">
        <w:rPr>
          <w:sz w:val="22"/>
          <w:szCs w:val="22"/>
        </w:rPr>
        <w:t xml:space="preserve"> </w:t>
      </w:r>
      <w:r w:rsidR="0043475D" w:rsidRPr="00FC332C">
        <w:rPr>
          <w:sz w:val="22"/>
          <w:szCs w:val="22"/>
        </w:rPr>
        <w:t>ao longo do mes, assim chegando a uma lista de bases que ao longo do ano deixaram de ser oferecidos em algum momento do mês .</w:t>
      </w:r>
    </w:p>
    <w:p w14:paraId="4E8CA948" w14:textId="505DE85E" w:rsidR="00BE4350" w:rsidRPr="00FC332C" w:rsidRDefault="00BE4350" w:rsidP="00960758">
      <w:pPr>
        <w:jc w:val="center"/>
        <w:rPr>
          <w:sz w:val="22"/>
          <w:szCs w:val="22"/>
        </w:rPr>
      </w:pPr>
      <w:r w:rsidRPr="00FC332C">
        <w:rPr>
          <w:noProof/>
          <w:sz w:val="22"/>
          <w:szCs w:val="22"/>
        </w:rPr>
        <w:drawing>
          <wp:inline distT="0" distB="0" distL="0" distR="0" wp14:anchorId="3973CE26" wp14:editId="671AF199">
            <wp:extent cx="5676181" cy="5210306"/>
            <wp:effectExtent l="0" t="0" r="1270" b="0"/>
            <wp:docPr id="672597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97838" name="Picture 6725978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4871" cy="5282537"/>
                    </a:xfrm>
                    <a:prstGeom prst="rect">
                      <a:avLst/>
                    </a:prstGeom>
                  </pic:spPr>
                </pic:pic>
              </a:graphicData>
            </a:graphic>
          </wp:inline>
        </w:drawing>
      </w:r>
    </w:p>
    <w:p w14:paraId="71F97A65" w14:textId="1EDB73EE" w:rsidR="0019582C" w:rsidRDefault="00960758" w:rsidP="0019582C">
      <w:pPr>
        <w:rPr>
          <w:i/>
          <w:iCs/>
          <w:noProof/>
          <w:sz w:val="18"/>
          <w:szCs w:val="18"/>
        </w:rPr>
      </w:pPr>
      <w:r w:rsidRPr="00FC332C">
        <w:rPr>
          <w:i/>
          <w:iCs/>
          <w:noProof/>
          <w:sz w:val="18"/>
          <w:szCs w:val="18"/>
        </w:rPr>
        <w:t>Fig 4: O valor médio de destinos distintos acumulados semanalmente e o desvio padrão  desses dados para os anos de 2026 até 2021.</w:t>
      </w:r>
    </w:p>
    <w:p w14:paraId="50409300" w14:textId="77777777" w:rsidR="002D26F0" w:rsidRDefault="0019582C">
      <w:pPr>
        <w:rPr>
          <w:sz w:val="22"/>
          <w:szCs w:val="22"/>
        </w:rPr>
      </w:pPr>
      <w:r w:rsidRPr="00FC332C">
        <w:rPr>
          <w:sz w:val="22"/>
          <w:szCs w:val="22"/>
        </w:rPr>
        <w:t>A lista das bases que recorrentemente alternam entre serem oferecidas e não oferecidas são :</w:t>
      </w:r>
    </w:p>
    <w:p w14:paraId="10F92725" w14:textId="4C2F5E46" w:rsidR="00003076" w:rsidRPr="00FC332C" w:rsidRDefault="0019582C">
      <w:pPr>
        <w:rPr>
          <w:sz w:val="22"/>
          <w:szCs w:val="22"/>
        </w:rPr>
      </w:pPr>
      <w:r w:rsidRPr="00FC332C">
        <w:rPr>
          <w:sz w:val="22"/>
          <w:szCs w:val="22"/>
        </w:rPr>
        <w:br/>
      </w:r>
      <w:r w:rsidR="00FC332C">
        <w:rPr>
          <w:i/>
          <w:iCs/>
          <w:noProof/>
          <w:sz w:val="18"/>
          <w:szCs w:val="18"/>
        </w:rPr>
        <w:t xml:space="preserve">Tabela </w:t>
      </w:r>
      <w:r w:rsidR="00960758" w:rsidRPr="00FC332C">
        <w:rPr>
          <w:i/>
          <w:iCs/>
          <w:noProof/>
          <w:sz w:val="18"/>
          <w:szCs w:val="18"/>
        </w:rPr>
        <w:t xml:space="preserve"> 2: </w:t>
      </w:r>
      <w:r w:rsidR="00FC332C">
        <w:rPr>
          <w:i/>
          <w:iCs/>
          <w:noProof/>
          <w:sz w:val="18"/>
          <w:szCs w:val="18"/>
        </w:rPr>
        <w:t>A lista da bases mais preteridas ciclicamente no oferecimento de destinos</w:t>
      </w:r>
      <w:r w:rsidR="00960758" w:rsidRPr="00FC332C">
        <w:rPr>
          <w:i/>
          <w:iCs/>
          <w:noProof/>
          <w:sz w:val="18"/>
          <w:szCs w:val="18"/>
        </w:rPr>
        <w:t>.</w:t>
      </w:r>
      <w:r w:rsidRPr="00FC332C">
        <w:rPr>
          <w:sz w:val="22"/>
          <w:szCs w:val="22"/>
        </w:rPr>
        <w:br/>
      </w:r>
      <w:r w:rsidRPr="00FC332C">
        <w:rPr>
          <w:noProof/>
          <w:sz w:val="22"/>
          <w:szCs w:val="22"/>
        </w:rPr>
        <w:drawing>
          <wp:inline distT="0" distB="0" distL="0" distR="0" wp14:anchorId="287DFE09" wp14:editId="1941D949">
            <wp:extent cx="6645910" cy="1756410"/>
            <wp:effectExtent l="0" t="0" r="2540" b="0"/>
            <wp:docPr id="1756357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756410"/>
                    </a:xfrm>
                    <a:prstGeom prst="rect">
                      <a:avLst/>
                    </a:prstGeom>
                    <a:noFill/>
                    <a:ln>
                      <a:noFill/>
                    </a:ln>
                  </pic:spPr>
                </pic:pic>
              </a:graphicData>
            </a:graphic>
          </wp:inline>
        </w:drawing>
      </w:r>
    </w:p>
    <w:p w14:paraId="0432D0C3" w14:textId="4F63B4E5" w:rsidR="00003076" w:rsidRPr="00FC332C" w:rsidRDefault="00003076">
      <w:pPr>
        <w:rPr>
          <w:sz w:val="22"/>
          <w:szCs w:val="22"/>
        </w:rPr>
      </w:pPr>
      <w:r w:rsidRPr="00FC332C">
        <w:rPr>
          <w:sz w:val="22"/>
          <w:szCs w:val="22"/>
        </w:rPr>
        <w:t xml:space="preserve">Frota </w:t>
      </w:r>
    </w:p>
    <w:p w14:paraId="596D8B0A" w14:textId="06BED37B" w:rsidR="00963EE5" w:rsidRPr="00FC332C" w:rsidRDefault="00AF2563">
      <w:pPr>
        <w:rPr>
          <w:sz w:val="22"/>
          <w:szCs w:val="22"/>
        </w:rPr>
      </w:pPr>
      <w:r w:rsidRPr="00AF2563">
        <w:rPr>
          <w:sz w:val="22"/>
          <w:szCs w:val="22"/>
        </w:rPr>
        <w:t>Ao analisarmos a frota da Gol, observamos um conjunto restrito de modelos utilizados, todos da fabricante Boeing. Para o período de janeiro de 2021 até o momento atual, a distribuição percentual é a seguinte:</w:t>
      </w:r>
      <w:r w:rsidR="00963EE5" w:rsidRPr="00FC332C">
        <w:rPr>
          <w:sz w:val="22"/>
          <w:szCs w:val="22"/>
        </w:rPr>
        <w:t xml:space="preserve"> </w:t>
      </w:r>
    </w:p>
    <w:p w14:paraId="7F339BFF" w14:textId="4B25A9C7" w:rsidR="00963EE5" w:rsidRPr="00FC332C" w:rsidRDefault="00963EE5" w:rsidP="001D61AB">
      <w:pPr>
        <w:pStyle w:val="ListParagraph"/>
        <w:numPr>
          <w:ilvl w:val="0"/>
          <w:numId w:val="1"/>
        </w:numPr>
        <w:rPr>
          <w:sz w:val="22"/>
          <w:szCs w:val="22"/>
        </w:rPr>
      </w:pPr>
      <w:r w:rsidRPr="00FC332C">
        <w:rPr>
          <w:sz w:val="22"/>
          <w:szCs w:val="22"/>
        </w:rPr>
        <w:lastRenderedPageBreak/>
        <w:t xml:space="preserve">BOEING 737 - 800 </w:t>
      </w:r>
      <w:r w:rsidR="001D61AB" w:rsidRPr="00FC332C">
        <w:rPr>
          <w:sz w:val="22"/>
          <w:szCs w:val="22"/>
        </w:rPr>
        <w:t xml:space="preserve">  </w:t>
      </w:r>
      <w:r w:rsidRPr="00FC332C">
        <w:rPr>
          <w:sz w:val="22"/>
          <w:szCs w:val="22"/>
        </w:rPr>
        <w:t>(57%)</w:t>
      </w:r>
      <w:r w:rsidR="001D61AB" w:rsidRPr="00FC332C">
        <w:rPr>
          <w:sz w:val="22"/>
          <w:szCs w:val="22"/>
        </w:rPr>
        <w:t>;</w:t>
      </w:r>
    </w:p>
    <w:p w14:paraId="799F3407" w14:textId="3D03DC01" w:rsidR="001D61AB" w:rsidRPr="00FC332C" w:rsidRDefault="00003076" w:rsidP="001D61AB">
      <w:pPr>
        <w:pStyle w:val="ListParagraph"/>
        <w:numPr>
          <w:ilvl w:val="0"/>
          <w:numId w:val="1"/>
        </w:numPr>
        <w:rPr>
          <w:sz w:val="22"/>
          <w:szCs w:val="22"/>
        </w:rPr>
      </w:pPr>
      <w:r w:rsidRPr="00FC332C">
        <w:rPr>
          <w:sz w:val="22"/>
          <w:szCs w:val="22"/>
        </w:rPr>
        <w:t>BOEING 737 MAX 8 (</w:t>
      </w:r>
      <w:r w:rsidR="00963EE5" w:rsidRPr="00FC332C">
        <w:rPr>
          <w:sz w:val="22"/>
          <w:szCs w:val="22"/>
        </w:rPr>
        <w:t>31</w:t>
      </w:r>
      <w:r w:rsidRPr="00FC332C">
        <w:rPr>
          <w:sz w:val="22"/>
          <w:szCs w:val="22"/>
        </w:rPr>
        <w:t>%)</w:t>
      </w:r>
      <w:r w:rsidR="001D61AB" w:rsidRPr="00FC332C">
        <w:rPr>
          <w:sz w:val="22"/>
          <w:szCs w:val="22"/>
        </w:rPr>
        <w:t>;</w:t>
      </w:r>
    </w:p>
    <w:p w14:paraId="2848595B" w14:textId="3772D36C" w:rsidR="00963EE5" w:rsidRPr="00FC332C" w:rsidRDefault="00003076" w:rsidP="001D61AB">
      <w:pPr>
        <w:pStyle w:val="ListParagraph"/>
        <w:numPr>
          <w:ilvl w:val="0"/>
          <w:numId w:val="1"/>
        </w:numPr>
        <w:rPr>
          <w:sz w:val="22"/>
          <w:szCs w:val="22"/>
          <w:lang w:val="en-US"/>
        </w:rPr>
      </w:pPr>
      <w:r w:rsidRPr="00FC332C">
        <w:rPr>
          <w:sz w:val="22"/>
          <w:szCs w:val="22"/>
          <w:lang w:val="en-US"/>
        </w:rPr>
        <w:t xml:space="preserve">BOEING 737 - 700 </w:t>
      </w:r>
      <w:r w:rsidR="001D61AB" w:rsidRPr="00FC332C">
        <w:rPr>
          <w:sz w:val="22"/>
          <w:szCs w:val="22"/>
          <w:lang w:val="en-US"/>
        </w:rPr>
        <w:t xml:space="preserve">  </w:t>
      </w:r>
      <w:r w:rsidRPr="00FC332C">
        <w:rPr>
          <w:sz w:val="22"/>
          <w:szCs w:val="22"/>
          <w:lang w:val="en-US"/>
        </w:rPr>
        <w:t>(1</w:t>
      </w:r>
      <w:r w:rsidR="00963EE5" w:rsidRPr="00FC332C">
        <w:rPr>
          <w:sz w:val="22"/>
          <w:szCs w:val="22"/>
          <w:lang w:val="en-US"/>
        </w:rPr>
        <w:t>2</w:t>
      </w:r>
      <w:r w:rsidRPr="00FC332C">
        <w:rPr>
          <w:sz w:val="22"/>
          <w:szCs w:val="22"/>
          <w:lang w:val="en-US"/>
        </w:rPr>
        <w:t>%)</w:t>
      </w:r>
      <w:r w:rsidR="001D61AB" w:rsidRPr="00FC332C">
        <w:rPr>
          <w:sz w:val="22"/>
          <w:szCs w:val="22"/>
          <w:lang w:val="en-US"/>
        </w:rPr>
        <w:t>.</w:t>
      </w:r>
    </w:p>
    <w:p w14:paraId="08B07CB3" w14:textId="77777777" w:rsidR="00AF2563" w:rsidRDefault="00AF2563">
      <w:pPr>
        <w:rPr>
          <w:noProof/>
          <w:sz w:val="22"/>
          <w:szCs w:val="22"/>
        </w:rPr>
      </w:pPr>
      <w:r w:rsidRPr="00AF2563">
        <w:rPr>
          <w:noProof/>
          <w:sz w:val="22"/>
          <w:szCs w:val="22"/>
        </w:rPr>
        <w:t>Embora nenhum modelo além dos três citados tenha ingressado na frota, a distribuição proporcional entre eles se alterou ao longo dos anos. Observa-se uma diminuição da participação do 737-800 em detrimento do aumento da utilização do 737 MAX 8, indicando uma possível tentativa de responder à entrada no mercado de aeronaves mais econômicas, como o modelo NEO, equipado com motores mais eficientes.</w:t>
      </w:r>
    </w:p>
    <w:p w14:paraId="762D222B" w14:textId="77777777" w:rsidR="00AF2563" w:rsidRDefault="00AF2563">
      <w:pPr>
        <w:rPr>
          <w:noProof/>
          <w:sz w:val="22"/>
          <w:szCs w:val="22"/>
        </w:rPr>
      </w:pPr>
    </w:p>
    <w:p w14:paraId="39BBF7A7" w14:textId="01C8A00B" w:rsidR="00003076" w:rsidRPr="00FC332C" w:rsidRDefault="00963EE5">
      <w:pPr>
        <w:rPr>
          <w:sz w:val="22"/>
          <w:szCs w:val="22"/>
        </w:rPr>
      </w:pPr>
      <w:r w:rsidRPr="00FC332C">
        <w:rPr>
          <w:noProof/>
          <w:sz w:val="22"/>
          <w:szCs w:val="22"/>
        </w:rPr>
        <w:drawing>
          <wp:inline distT="0" distB="0" distL="0" distR="0" wp14:anchorId="4D7AA48F" wp14:editId="12274035">
            <wp:extent cx="6607834" cy="3122908"/>
            <wp:effectExtent l="0" t="0" r="2540" b="1905"/>
            <wp:docPr id="1199475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t="1858" b="2320"/>
                    <a:stretch>
                      <a:fillRect/>
                    </a:stretch>
                  </pic:blipFill>
                  <pic:spPr bwMode="auto">
                    <a:xfrm>
                      <a:off x="0" y="0"/>
                      <a:ext cx="6625867" cy="3131431"/>
                    </a:xfrm>
                    <a:prstGeom prst="rect">
                      <a:avLst/>
                    </a:prstGeom>
                    <a:noFill/>
                    <a:ln>
                      <a:noFill/>
                    </a:ln>
                    <a:extLst>
                      <a:ext uri="{53640926-AAD7-44D8-BBD7-CCE9431645EC}">
                        <a14:shadowObscured xmlns:a14="http://schemas.microsoft.com/office/drawing/2010/main"/>
                      </a:ext>
                    </a:extLst>
                  </pic:spPr>
                </pic:pic>
              </a:graphicData>
            </a:graphic>
          </wp:inline>
        </w:drawing>
      </w:r>
    </w:p>
    <w:p w14:paraId="53BDA736" w14:textId="10573E38" w:rsidR="00960758" w:rsidRDefault="00960758" w:rsidP="00FC332C">
      <w:pPr>
        <w:spacing w:after="0"/>
        <w:rPr>
          <w:i/>
          <w:iCs/>
          <w:noProof/>
          <w:sz w:val="18"/>
          <w:szCs w:val="18"/>
        </w:rPr>
      </w:pPr>
      <w:r w:rsidRPr="00FC332C">
        <w:rPr>
          <w:i/>
          <w:iCs/>
          <w:noProof/>
          <w:sz w:val="18"/>
          <w:szCs w:val="18"/>
        </w:rPr>
        <w:t xml:space="preserve">Fig </w:t>
      </w:r>
      <w:r w:rsidR="00FC332C">
        <w:rPr>
          <w:i/>
          <w:iCs/>
          <w:noProof/>
          <w:sz w:val="18"/>
          <w:szCs w:val="18"/>
        </w:rPr>
        <w:t>5</w:t>
      </w:r>
      <w:r w:rsidRPr="00FC332C">
        <w:rPr>
          <w:i/>
          <w:iCs/>
          <w:noProof/>
          <w:sz w:val="18"/>
          <w:szCs w:val="18"/>
        </w:rPr>
        <w:t xml:space="preserve">: </w:t>
      </w:r>
      <w:r w:rsidR="00866A99">
        <w:rPr>
          <w:i/>
          <w:iCs/>
          <w:noProof/>
          <w:sz w:val="18"/>
          <w:szCs w:val="18"/>
        </w:rPr>
        <w:t>Distribuição dos modelos da frota Gol , ano a ano, calculado a partir da data da primeira etapa de determinada matricula</w:t>
      </w:r>
      <w:r w:rsidRPr="00FC332C">
        <w:rPr>
          <w:i/>
          <w:iCs/>
          <w:noProof/>
          <w:sz w:val="18"/>
          <w:szCs w:val="18"/>
        </w:rPr>
        <w:t>.</w:t>
      </w:r>
    </w:p>
    <w:p w14:paraId="4A95518A" w14:textId="77777777" w:rsidR="00AF2563" w:rsidRDefault="00AF2563" w:rsidP="00FC332C">
      <w:pPr>
        <w:spacing w:after="0"/>
        <w:rPr>
          <w:i/>
          <w:iCs/>
          <w:noProof/>
          <w:sz w:val="18"/>
          <w:szCs w:val="18"/>
        </w:rPr>
      </w:pPr>
    </w:p>
    <w:p w14:paraId="0D661B52" w14:textId="77777777" w:rsidR="00FC332C" w:rsidRPr="00FC332C" w:rsidRDefault="00FC332C" w:rsidP="00FC332C">
      <w:pPr>
        <w:spacing w:after="0"/>
        <w:rPr>
          <w:sz w:val="18"/>
          <w:szCs w:val="18"/>
        </w:rPr>
      </w:pPr>
    </w:p>
    <w:p w14:paraId="38E077D7" w14:textId="47A671E3" w:rsidR="005E554A" w:rsidRPr="00FC332C" w:rsidRDefault="00AF2563">
      <w:pPr>
        <w:rPr>
          <w:sz w:val="22"/>
          <w:szCs w:val="22"/>
        </w:rPr>
      </w:pPr>
      <w:r w:rsidRPr="00AF2563">
        <w:rPr>
          <w:sz w:val="22"/>
          <w:szCs w:val="22"/>
        </w:rPr>
        <w:t>O modelo 737 MAX 8 foi adquirido de forma mais constante entre 2021 e 2022 e, posteriormente, em dois momentos distintos: início de 2024 e início de 2025. Já os 737-800 foram adquiridos majoritariamente em 2021 e 2026, enquanto os 737-700 foram incorporados apenas em 2021</w:t>
      </w:r>
      <w:r>
        <w:rPr>
          <w:sz w:val="22"/>
          <w:szCs w:val="22"/>
        </w:rPr>
        <w:t xml:space="preserve"> (exceto uma matricula que surge em 2023)</w:t>
      </w:r>
      <w:r w:rsidR="00960758" w:rsidRPr="00FC332C">
        <w:rPr>
          <w:sz w:val="22"/>
          <w:szCs w:val="22"/>
        </w:rPr>
        <w:t>.</w:t>
      </w:r>
      <w:r w:rsidR="005E554A" w:rsidRPr="00FC332C">
        <w:rPr>
          <w:sz w:val="22"/>
          <w:szCs w:val="22"/>
        </w:rPr>
        <w:t xml:space="preserve"> </w:t>
      </w:r>
    </w:p>
    <w:p w14:paraId="03E629B9" w14:textId="77A5F87A" w:rsidR="005E554A" w:rsidRPr="00FC332C" w:rsidRDefault="00963EE5">
      <w:pPr>
        <w:rPr>
          <w:sz w:val="22"/>
          <w:szCs w:val="22"/>
        </w:rPr>
      </w:pPr>
      <w:r w:rsidRPr="00FC332C">
        <w:rPr>
          <w:noProof/>
          <w:sz w:val="22"/>
          <w:szCs w:val="22"/>
        </w:rPr>
        <w:drawing>
          <wp:inline distT="0" distB="0" distL="0" distR="0" wp14:anchorId="4B479F0C" wp14:editId="11D3E49C">
            <wp:extent cx="6502967" cy="2397760"/>
            <wp:effectExtent l="0" t="0" r="0" b="2540"/>
            <wp:docPr id="2086937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6623" cy="2406482"/>
                    </a:xfrm>
                    <a:prstGeom prst="rect">
                      <a:avLst/>
                    </a:prstGeom>
                    <a:noFill/>
                    <a:ln>
                      <a:noFill/>
                    </a:ln>
                  </pic:spPr>
                </pic:pic>
              </a:graphicData>
            </a:graphic>
          </wp:inline>
        </w:drawing>
      </w:r>
    </w:p>
    <w:p w14:paraId="61F64BA1" w14:textId="6CA01456" w:rsidR="00FC332C" w:rsidRDefault="00FC332C">
      <w:pPr>
        <w:rPr>
          <w:i/>
          <w:iCs/>
          <w:noProof/>
          <w:sz w:val="18"/>
          <w:szCs w:val="18"/>
        </w:rPr>
      </w:pPr>
      <w:r w:rsidRPr="00FC332C">
        <w:rPr>
          <w:i/>
          <w:iCs/>
          <w:noProof/>
          <w:sz w:val="18"/>
          <w:szCs w:val="18"/>
        </w:rPr>
        <w:t xml:space="preserve">Fig </w:t>
      </w:r>
      <w:r>
        <w:rPr>
          <w:i/>
          <w:iCs/>
          <w:noProof/>
          <w:sz w:val="18"/>
          <w:szCs w:val="18"/>
        </w:rPr>
        <w:t>6</w:t>
      </w:r>
      <w:r w:rsidRPr="00FC332C">
        <w:rPr>
          <w:i/>
          <w:iCs/>
          <w:noProof/>
          <w:sz w:val="18"/>
          <w:szCs w:val="18"/>
        </w:rPr>
        <w:t xml:space="preserve">: </w:t>
      </w:r>
      <w:r w:rsidR="00866A99">
        <w:rPr>
          <w:i/>
          <w:iCs/>
          <w:noProof/>
          <w:sz w:val="18"/>
          <w:szCs w:val="18"/>
        </w:rPr>
        <w:t>Data da primeira aparaciação de determinada matrícula , separada por modelo.</w:t>
      </w:r>
    </w:p>
    <w:p w14:paraId="34D5FE3F" w14:textId="77777777" w:rsidR="00FC332C" w:rsidRPr="00FC332C" w:rsidRDefault="00FC332C">
      <w:pPr>
        <w:rPr>
          <w:sz w:val="18"/>
          <w:szCs w:val="18"/>
        </w:rPr>
      </w:pPr>
    </w:p>
    <w:p w14:paraId="50A25A74" w14:textId="6489959D" w:rsidR="005E554A" w:rsidRPr="00FC332C" w:rsidRDefault="00931BCD">
      <w:pPr>
        <w:rPr>
          <w:noProof/>
          <w:sz w:val="22"/>
          <w:szCs w:val="22"/>
        </w:rPr>
      </w:pPr>
      <w:r w:rsidRPr="00FC332C">
        <w:rPr>
          <w:sz w:val="22"/>
          <w:szCs w:val="22"/>
        </w:rPr>
        <w:t xml:space="preserve">Esse ritmo de aquisições dos modelos para a frota Gol pode ser mais facilmente obesrvadas olhando o histograma </w:t>
      </w:r>
      <w:r w:rsidR="00960758" w:rsidRPr="00FC332C">
        <w:rPr>
          <w:sz w:val="22"/>
          <w:szCs w:val="22"/>
        </w:rPr>
        <w:t>da idade</w:t>
      </w:r>
      <w:r w:rsidRPr="00FC332C">
        <w:rPr>
          <w:sz w:val="22"/>
          <w:szCs w:val="22"/>
        </w:rPr>
        <w:t xml:space="preserve"> em serviço.</w:t>
      </w:r>
    </w:p>
    <w:p w14:paraId="37D270AE" w14:textId="4DE44FA7" w:rsidR="00963EE5" w:rsidRPr="00FC332C" w:rsidRDefault="00960758">
      <w:pPr>
        <w:rPr>
          <w:sz w:val="22"/>
          <w:szCs w:val="22"/>
        </w:rPr>
      </w:pPr>
      <w:r w:rsidRPr="00FC332C">
        <w:rPr>
          <w:noProof/>
          <w:sz w:val="22"/>
          <w:szCs w:val="22"/>
        </w:rPr>
        <w:lastRenderedPageBreak/>
        <w:drawing>
          <wp:inline distT="0" distB="0" distL="0" distR="0" wp14:anchorId="4AD0A963" wp14:editId="25C84D0A">
            <wp:extent cx="6645910" cy="4120515"/>
            <wp:effectExtent l="0" t="0" r="2540" b="0"/>
            <wp:docPr id="10186282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120515"/>
                    </a:xfrm>
                    <a:prstGeom prst="rect">
                      <a:avLst/>
                    </a:prstGeom>
                    <a:noFill/>
                    <a:ln>
                      <a:noFill/>
                    </a:ln>
                  </pic:spPr>
                </pic:pic>
              </a:graphicData>
            </a:graphic>
          </wp:inline>
        </w:drawing>
      </w:r>
    </w:p>
    <w:p w14:paraId="2526878A" w14:textId="0AD7D94C" w:rsidR="00FC332C" w:rsidRDefault="00FC332C">
      <w:pPr>
        <w:rPr>
          <w:i/>
          <w:iCs/>
          <w:noProof/>
          <w:sz w:val="18"/>
          <w:szCs w:val="18"/>
        </w:rPr>
      </w:pPr>
      <w:r w:rsidRPr="00FC332C">
        <w:rPr>
          <w:i/>
          <w:iCs/>
          <w:noProof/>
          <w:sz w:val="18"/>
          <w:szCs w:val="18"/>
        </w:rPr>
        <w:t xml:space="preserve">Fig </w:t>
      </w:r>
      <w:r>
        <w:rPr>
          <w:i/>
          <w:iCs/>
          <w:noProof/>
          <w:sz w:val="18"/>
          <w:szCs w:val="18"/>
        </w:rPr>
        <w:t>7</w:t>
      </w:r>
      <w:r w:rsidRPr="00FC332C">
        <w:rPr>
          <w:i/>
          <w:iCs/>
          <w:noProof/>
          <w:sz w:val="18"/>
          <w:szCs w:val="18"/>
        </w:rPr>
        <w:t xml:space="preserve">: </w:t>
      </w:r>
      <w:r w:rsidR="00866A99">
        <w:rPr>
          <w:i/>
          <w:iCs/>
          <w:noProof/>
          <w:sz w:val="18"/>
          <w:szCs w:val="18"/>
        </w:rPr>
        <w:t>Distribuição das idades de serviço calculado como tempo entre a primeira aparição da matricula e sua ultima aparição.</w:t>
      </w:r>
    </w:p>
    <w:p w14:paraId="77905B47" w14:textId="77777777" w:rsidR="00866A99" w:rsidRPr="00FC332C" w:rsidRDefault="00866A99">
      <w:pPr>
        <w:rPr>
          <w:sz w:val="18"/>
          <w:szCs w:val="18"/>
        </w:rPr>
      </w:pPr>
    </w:p>
    <w:p w14:paraId="01177427" w14:textId="15B7FFDE" w:rsidR="007C1D39" w:rsidRPr="00FC332C" w:rsidRDefault="00960758">
      <w:pPr>
        <w:rPr>
          <w:sz w:val="22"/>
          <w:szCs w:val="22"/>
        </w:rPr>
      </w:pPr>
      <w:r w:rsidRPr="00FC332C">
        <w:rPr>
          <w:sz w:val="22"/>
          <w:szCs w:val="22"/>
        </w:rPr>
        <w:t xml:space="preserve">O valor mediano do tempo de serviço dos equipamentos da frota da Gol estão em torno de 4 anos, sendo os modelo 800 e Max 8 com uma distribuição mais homogenia de idade de serviço. Os valores específicos podem ser observados no Gráfico de box-plot das idades de serviço, representado da figura </w:t>
      </w:r>
      <w:r w:rsidR="007C1D39">
        <w:rPr>
          <w:sz w:val="22"/>
          <w:szCs w:val="22"/>
        </w:rPr>
        <w:t>8.</w:t>
      </w:r>
    </w:p>
    <w:p w14:paraId="71C115D4" w14:textId="3F8DE445" w:rsidR="002F3313" w:rsidRPr="00FC332C" w:rsidRDefault="002F3313">
      <w:pPr>
        <w:rPr>
          <w:sz w:val="22"/>
          <w:szCs w:val="22"/>
        </w:rPr>
      </w:pPr>
      <w:r w:rsidRPr="00FC332C">
        <w:rPr>
          <w:noProof/>
          <w:sz w:val="22"/>
          <w:szCs w:val="22"/>
        </w:rPr>
        <w:drawing>
          <wp:inline distT="0" distB="0" distL="0" distR="0" wp14:anchorId="55FB783F" wp14:editId="6E9C2112">
            <wp:extent cx="6645910" cy="3317875"/>
            <wp:effectExtent l="0" t="0" r="2540" b="0"/>
            <wp:docPr id="48744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317875"/>
                    </a:xfrm>
                    <a:prstGeom prst="rect">
                      <a:avLst/>
                    </a:prstGeom>
                    <a:noFill/>
                    <a:ln>
                      <a:noFill/>
                    </a:ln>
                  </pic:spPr>
                </pic:pic>
              </a:graphicData>
            </a:graphic>
          </wp:inline>
        </w:drawing>
      </w:r>
    </w:p>
    <w:p w14:paraId="0961FA0B" w14:textId="423CC8AE" w:rsidR="002F3313" w:rsidRPr="00866A99" w:rsidRDefault="00FC332C">
      <w:pPr>
        <w:rPr>
          <w:sz w:val="18"/>
          <w:szCs w:val="18"/>
        </w:rPr>
      </w:pPr>
      <w:r w:rsidRPr="00866A99">
        <w:rPr>
          <w:i/>
          <w:iCs/>
          <w:noProof/>
          <w:sz w:val="18"/>
          <w:szCs w:val="18"/>
        </w:rPr>
        <w:t xml:space="preserve">Fig </w:t>
      </w:r>
      <w:r w:rsidR="0078149E" w:rsidRPr="00866A99">
        <w:rPr>
          <w:i/>
          <w:iCs/>
          <w:noProof/>
          <w:sz w:val="18"/>
          <w:szCs w:val="18"/>
        </w:rPr>
        <w:t>8</w:t>
      </w:r>
      <w:r w:rsidRPr="00866A99">
        <w:rPr>
          <w:i/>
          <w:iCs/>
          <w:noProof/>
          <w:sz w:val="18"/>
          <w:szCs w:val="18"/>
        </w:rPr>
        <w:t xml:space="preserve">: </w:t>
      </w:r>
      <w:r w:rsidR="00866A99" w:rsidRPr="00866A99">
        <w:rPr>
          <w:i/>
          <w:iCs/>
          <w:noProof/>
          <w:sz w:val="18"/>
          <w:szCs w:val="18"/>
        </w:rPr>
        <w:t>Box plot das idades</w:t>
      </w:r>
      <w:r w:rsidR="00866A99">
        <w:rPr>
          <w:i/>
          <w:iCs/>
          <w:noProof/>
          <w:sz w:val="18"/>
          <w:szCs w:val="18"/>
        </w:rPr>
        <w:t xml:space="preserve"> de serviço de acordo com o modelo do equipamento.</w:t>
      </w:r>
    </w:p>
    <w:p w14:paraId="1D6304AD" w14:textId="77777777" w:rsidR="00FC332C" w:rsidRPr="00866A99" w:rsidRDefault="00FC332C">
      <w:pPr>
        <w:rPr>
          <w:sz w:val="22"/>
          <w:szCs w:val="22"/>
        </w:rPr>
      </w:pPr>
    </w:p>
    <w:p w14:paraId="5F56A602" w14:textId="77777777" w:rsidR="00FC332C" w:rsidRPr="00866A99" w:rsidRDefault="00FC332C">
      <w:pPr>
        <w:rPr>
          <w:sz w:val="22"/>
          <w:szCs w:val="22"/>
        </w:rPr>
      </w:pPr>
    </w:p>
    <w:p w14:paraId="224FE53B" w14:textId="20261B76" w:rsidR="00931BCD" w:rsidRPr="00866A99" w:rsidRDefault="00931BCD">
      <w:pPr>
        <w:rPr>
          <w:sz w:val="22"/>
          <w:szCs w:val="22"/>
        </w:rPr>
      </w:pPr>
    </w:p>
    <w:p w14:paraId="5DA1F9AF" w14:textId="460E012D" w:rsidR="00BE4350" w:rsidRDefault="00931BCD">
      <w:r w:rsidRPr="00FC332C">
        <w:rPr>
          <w:sz w:val="22"/>
          <w:szCs w:val="22"/>
        </w:rPr>
        <w:t>Tempo de Solo – Hu</w:t>
      </w:r>
      <w:r>
        <w:t>b e Off-Hub</w:t>
      </w:r>
    </w:p>
    <w:p w14:paraId="2C9370CC" w14:textId="20732E5F" w:rsidR="007C1D39" w:rsidRPr="007C1D39" w:rsidRDefault="007C1D39" w:rsidP="007C1D39">
      <w:pPr>
        <w:rPr>
          <w:sz w:val="22"/>
          <w:szCs w:val="22"/>
        </w:rPr>
      </w:pPr>
      <w:r w:rsidRPr="007C1D39">
        <w:rPr>
          <w:sz w:val="22"/>
          <w:szCs w:val="22"/>
        </w:rPr>
        <w:t>Devido à natureza difusa dos microdados da ANAC e à reconstrução dos trilhos de matrícula das aeronaves, os dados apresentam diversas lacunas. Como consequência, os tempos de solo possuem uma quantidade significativa de outliers.</w:t>
      </w:r>
    </w:p>
    <w:p w14:paraId="32110DF3" w14:textId="7DC6B199" w:rsidR="00A71AFE" w:rsidRDefault="007C1D39" w:rsidP="007C1D39">
      <w:pPr>
        <w:rPr>
          <w:sz w:val="22"/>
          <w:szCs w:val="22"/>
        </w:rPr>
      </w:pPr>
      <w:r w:rsidRPr="007C1D39">
        <w:rPr>
          <w:sz w:val="22"/>
          <w:szCs w:val="22"/>
        </w:rPr>
        <w:t>Por isso, a primeira etapa consistiu em analisar a distribuição dos tempos de solo e, posteriormente, construir um limiar de corte baseado em 1,5 vezes o valor do IQR (Interquartile Range). Assim, foi encontrado o valor de 212,5 minutos (3h30min) como limiar para identificação de outliers, conforme apresentado na Figura 9.</w:t>
      </w:r>
    </w:p>
    <w:p w14:paraId="4A2AA440" w14:textId="0AD94F8E" w:rsidR="00A71AFE" w:rsidRDefault="00A71AFE">
      <w:pPr>
        <w:rPr>
          <w:sz w:val="22"/>
          <w:szCs w:val="22"/>
        </w:rPr>
      </w:pPr>
      <w:r>
        <w:rPr>
          <w:noProof/>
          <w:sz w:val="22"/>
          <w:szCs w:val="22"/>
        </w:rPr>
        <w:drawing>
          <wp:inline distT="0" distB="0" distL="0" distR="0" wp14:anchorId="4DCDB182" wp14:editId="1AD25357">
            <wp:extent cx="6150634" cy="3817552"/>
            <wp:effectExtent l="0" t="0" r="2540" b="0"/>
            <wp:docPr id="9066861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6100" name="Picture 9066861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3909" cy="3831998"/>
                    </a:xfrm>
                    <a:prstGeom prst="rect">
                      <a:avLst/>
                    </a:prstGeom>
                  </pic:spPr>
                </pic:pic>
              </a:graphicData>
            </a:graphic>
          </wp:inline>
        </w:drawing>
      </w:r>
    </w:p>
    <w:p w14:paraId="3559D97D" w14:textId="03B41926" w:rsidR="001A060A" w:rsidRPr="00FC332C" w:rsidRDefault="001A060A" w:rsidP="001A060A">
      <w:pPr>
        <w:rPr>
          <w:sz w:val="18"/>
          <w:szCs w:val="18"/>
        </w:rPr>
      </w:pPr>
      <w:r w:rsidRPr="00FC332C">
        <w:rPr>
          <w:i/>
          <w:iCs/>
          <w:noProof/>
          <w:sz w:val="18"/>
          <w:szCs w:val="18"/>
        </w:rPr>
        <w:t xml:space="preserve">Fig </w:t>
      </w:r>
      <w:r>
        <w:rPr>
          <w:i/>
          <w:iCs/>
          <w:noProof/>
          <w:sz w:val="18"/>
          <w:szCs w:val="18"/>
        </w:rPr>
        <w:t>9</w:t>
      </w:r>
      <w:r w:rsidRPr="00FC332C">
        <w:rPr>
          <w:i/>
          <w:iCs/>
          <w:noProof/>
          <w:sz w:val="18"/>
          <w:szCs w:val="18"/>
        </w:rPr>
        <w:t xml:space="preserve">: </w:t>
      </w:r>
      <w:r w:rsidR="00866A99">
        <w:rPr>
          <w:i/>
          <w:iCs/>
          <w:noProof/>
          <w:sz w:val="18"/>
          <w:szCs w:val="18"/>
        </w:rPr>
        <w:t>Distribuição de todos os valores calculados para o tempo de solo.</w:t>
      </w:r>
    </w:p>
    <w:p w14:paraId="076FDCCE" w14:textId="3A3A7D6C" w:rsidR="001A060A" w:rsidRDefault="00A71AFE">
      <w:pPr>
        <w:rPr>
          <w:sz w:val="22"/>
          <w:szCs w:val="22"/>
        </w:rPr>
      </w:pPr>
      <w:r>
        <w:rPr>
          <w:sz w:val="22"/>
          <w:szCs w:val="22"/>
        </w:rPr>
        <w:t>Com esse valor de limiar fizemos a limpeza dos dados e o calculo  da mediana , mais indicado no caso de muitos outlier, e dos quartis por modelo de equipamento e</w:t>
      </w:r>
      <w:r w:rsidR="001A060A">
        <w:rPr>
          <w:sz w:val="22"/>
          <w:szCs w:val="22"/>
        </w:rPr>
        <w:t xml:space="preserve"> os resultados foram apresentados na figura 10, no formato de gráficos de box plot e para permitir a visualização do perfil de distribuição também foi produzido o gráfico de violino representado na figura 10.</w:t>
      </w:r>
      <w:r>
        <w:rPr>
          <w:sz w:val="22"/>
          <w:szCs w:val="22"/>
        </w:rPr>
        <w:t xml:space="preserve"> </w:t>
      </w:r>
      <w:r w:rsidR="001A060A">
        <w:rPr>
          <w:noProof/>
          <w:sz w:val="22"/>
          <w:szCs w:val="22"/>
        </w:rPr>
        <w:drawing>
          <wp:inline distT="0" distB="0" distL="0" distR="0" wp14:anchorId="70CDFAB6" wp14:editId="24A17DA4">
            <wp:extent cx="5468793" cy="2499360"/>
            <wp:effectExtent l="0" t="0" r="0" b="0"/>
            <wp:docPr id="16270945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4568" name="Picture 1627094568"/>
                    <pic:cNvPicPr/>
                  </pic:nvPicPr>
                  <pic:blipFill rotWithShape="1">
                    <a:blip r:embed="rId18">
                      <a:extLst>
                        <a:ext uri="{28A0092B-C50C-407E-A947-70E740481C1C}">
                          <a14:useLocalDpi xmlns:a14="http://schemas.microsoft.com/office/drawing/2010/main" val="0"/>
                        </a:ext>
                      </a:extLst>
                    </a:blip>
                    <a:srcRect t="1926" b="5362"/>
                    <a:stretch>
                      <a:fillRect/>
                    </a:stretch>
                  </pic:blipFill>
                  <pic:spPr bwMode="auto">
                    <a:xfrm>
                      <a:off x="0" y="0"/>
                      <a:ext cx="5485945" cy="2507199"/>
                    </a:xfrm>
                    <a:prstGeom prst="rect">
                      <a:avLst/>
                    </a:prstGeom>
                    <a:ln>
                      <a:noFill/>
                    </a:ln>
                    <a:extLst>
                      <a:ext uri="{53640926-AAD7-44D8-BBD7-CCE9431645EC}">
                        <a14:shadowObscured xmlns:a14="http://schemas.microsoft.com/office/drawing/2010/main"/>
                      </a:ext>
                    </a:extLst>
                  </pic:spPr>
                </pic:pic>
              </a:graphicData>
            </a:graphic>
          </wp:inline>
        </w:drawing>
      </w:r>
    </w:p>
    <w:p w14:paraId="265B7962" w14:textId="68935A3D" w:rsidR="001A060A" w:rsidRDefault="001A060A" w:rsidP="001A060A">
      <w:pPr>
        <w:rPr>
          <w:i/>
          <w:iCs/>
          <w:noProof/>
          <w:sz w:val="18"/>
          <w:szCs w:val="18"/>
        </w:rPr>
      </w:pPr>
      <w:r w:rsidRPr="00FC332C">
        <w:rPr>
          <w:i/>
          <w:iCs/>
          <w:noProof/>
          <w:sz w:val="18"/>
          <w:szCs w:val="18"/>
        </w:rPr>
        <w:t xml:space="preserve">Fig </w:t>
      </w:r>
      <w:r>
        <w:rPr>
          <w:i/>
          <w:iCs/>
          <w:noProof/>
          <w:sz w:val="18"/>
          <w:szCs w:val="18"/>
        </w:rPr>
        <w:t>10</w:t>
      </w:r>
      <w:r w:rsidRPr="00FC332C">
        <w:rPr>
          <w:i/>
          <w:iCs/>
          <w:noProof/>
          <w:sz w:val="18"/>
          <w:szCs w:val="18"/>
        </w:rPr>
        <w:t xml:space="preserve">: </w:t>
      </w:r>
      <w:r w:rsidR="00866A99">
        <w:rPr>
          <w:i/>
          <w:iCs/>
          <w:noProof/>
          <w:sz w:val="18"/>
          <w:szCs w:val="18"/>
        </w:rPr>
        <w:t>Mediana e boxplot para os valores de tempo de solo para os 3 diferentes modelos de equipamento.</w:t>
      </w:r>
    </w:p>
    <w:p w14:paraId="518A5A93" w14:textId="77777777" w:rsidR="001A060A" w:rsidRPr="00FC332C" w:rsidRDefault="001A060A" w:rsidP="001A060A">
      <w:pPr>
        <w:rPr>
          <w:sz w:val="18"/>
          <w:szCs w:val="18"/>
        </w:rPr>
      </w:pPr>
    </w:p>
    <w:p w14:paraId="4A8EB80A" w14:textId="77777777" w:rsidR="00A57AD8" w:rsidRDefault="001A060A">
      <w:pPr>
        <w:rPr>
          <w:sz w:val="22"/>
          <w:szCs w:val="22"/>
        </w:rPr>
      </w:pPr>
      <w:r>
        <w:rPr>
          <w:sz w:val="22"/>
          <w:szCs w:val="22"/>
        </w:rPr>
        <w:t xml:space="preserve">Como podemos observar na figura 11 que existe um maior número de </w:t>
      </w:r>
      <w:r w:rsidR="00A57AD8">
        <w:rPr>
          <w:sz w:val="22"/>
          <w:szCs w:val="22"/>
        </w:rPr>
        <w:t>tempo de solo menor que 60 minutos, o valor médio das medinas. Isso mostra que existe uniformidade das distribuições dos tempos de solo e do valor da mediana , independente do modelo .</w:t>
      </w:r>
    </w:p>
    <w:p w14:paraId="54BB092A" w14:textId="4B32838C" w:rsidR="001A060A" w:rsidRDefault="00A57AD8">
      <w:pPr>
        <w:rPr>
          <w:sz w:val="22"/>
          <w:szCs w:val="22"/>
        </w:rPr>
      </w:pPr>
      <w:r>
        <w:rPr>
          <w:sz w:val="22"/>
          <w:szCs w:val="22"/>
        </w:rPr>
        <w:t>Porém, parece existir um leve tendência de modelos mais conteporeneos exigirem ou serem privilegiados com tempos medianos de solo maior, isso coloca a hipotese que modelo mais eficientes acabam sendo mais complexos , construindo tempos de solo ligeiramente maiores.</w:t>
      </w:r>
      <w:r w:rsidR="001A060A">
        <w:rPr>
          <w:sz w:val="22"/>
          <w:szCs w:val="22"/>
        </w:rPr>
        <w:t xml:space="preserve"> </w:t>
      </w:r>
    </w:p>
    <w:p w14:paraId="43A747AD" w14:textId="11DDC709" w:rsidR="001A060A" w:rsidRDefault="001A060A">
      <w:pPr>
        <w:rPr>
          <w:sz w:val="22"/>
          <w:szCs w:val="22"/>
        </w:rPr>
      </w:pPr>
      <w:r>
        <w:rPr>
          <w:noProof/>
          <w:sz w:val="22"/>
          <w:szCs w:val="22"/>
        </w:rPr>
        <w:drawing>
          <wp:inline distT="0" distB="0" distL="0" distR="0" wp14:anchorId="04297173" wp14:editId="54AE6FE4">
            <wp:extent cx="6504317" cy="3684702"/>
            <wp:effectExtent l="0" t="0" r="0" b="0"/>
            <wp:docPr id="16568260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26076" name="Picture 1656826076"/>
                    <pic:cNvPicPr/>
                  </pic:nvPicPr>
                  <pic:blipFill>
                    <a:blip r:embed="rId19">
                      <a:extLst>
                        <a:ext uri="{28A0092B-C50C-407E-A947-70E740481C1C}">
                          <a14:useLocalDpi xmlns:a14="http://schemas.microsoft.com/office/drawing/2010/main" val="0"/>
                        </a:ext>
                      </a:extLst>
                    </a:blip>
                    <a:stretch>
                      <a:fillRect/>
                    </a:stretch>
                  </pic:blipFill>
                  <pic:spPr>
                    <a:xfrm>
                      <a:off x="0" y="0"/>
                      <a:ext cx="6506725" cy="3686066"/>
                    </a:xfrm>
                    <a:prstGeom prst="rect">
                      <a:avLst/>
                    </a:prstGeom>
                  </pic:spPr>
                </pic:pic>
              </a:graphicData>
            </a:graphic>
          </wp:inline>
        </w:drawing>
      </w:r>
    </w:p>
    <w:p w14:paraId="4E03C8D2" w14:textId="093E1EE4" w:rsidR="001A060A" w:rsidRPr="00FC332C" w:rsidRDefault="001A060A" w:rsidP="001A060A">
      <w:pPr>
        <w:rPr>
          <w:sz w:val="18"/>
          <w:szCs w:val="18"/>
        </w:rPr>
      </w:pPr>
      <w:r w:rsidRPr="00FC332C">
        <w:rPr>
          <w:i/>
          <w:iCs/>
          <w:noProof/>
          <w:sz w:val="18"/>
          <w:szCs w:val="18"/>
        </w:rPr>
        <w:t xml:space="preserve">Fig </w:t>
      </w:r>
      <w:r>
        <w:rPr>
          <w:i/>
          <w:iCs/>
          <w:noProof/>
          <w:sz w:val="18"/>
          <w:szCs w:val="18"/>
        </w:rPr>
        <w:t>1</w:t>
      </w:r>
      <w:r w:rsidR="002D26F0">
        <w:rPr>
          <w:i/>
          <w:iCs/>
          <w:noProof/>
          <w:sz w:val="18"/>
          <w:szCs w:val="18"/>
        </w:rPr>
        <w:t>1</w:t>
      </w:r>
      <w:r w:rsidRPr="00FC332C">
        <w:rPr>
          <w:i/>
          <w:iCs/>
          <w:noProof/>
          <w:sz w:val="18"/>
          <w:szCs w:val="18"/>
        </w:rPr>
        <w:t xml:space="preserve">: </w:t>
      </w:r>
      <w:r w:rsidR="00866A99">
        <w:rPr>
          <w:i/>
          <w:iCs/>
          <w:noProof/>
          <w:sz w:val="18"/>
          <w:szCs w:val="18"/>
        </w:rPr>
        <w:t xml:space="preserve">Distribuição e valores da média,  Q1 , Q2 (mediana) e Q3 para os 3 modelos de equipamentos disponíveis. </w:t>
      </w:r>
    </w:p>
    <w:p w14:paraId="6252C224" w14:textId="77777777" w:rsidR="00A57AD8" w:rsidRDefault="00A57AD8">
      <w:pPr>
        <w:rPr>
          <w:sz w:val="22"/>
          <w:szCs w:val="22"/>
        </w:rPr>
      </w:pPr>
    </w:p>
    <w:p w14:paraId="32201F89" w14:textId="03795F89" w:rsidR="00A57AD8" w:rsidRDefault="00A57AD8">
      <w:pPr>
        <w:rPr>
          <w:sz w:val="22"/>
          <w:szCs w:val="22"/>
        </w:rPr>
      </w:pPr>
      <w:r>
        <w:rPr>
          <w:sz w:val="22"/>
          <w:szCs w:val="22"/>
        </w:rPr>
        <w:t>O próximo passo foi levantar os valores de tempo de solo para diferentes tipos de base, para isso, seria necessário categorizar as bases da gol entre possíveis hubs e off-hubs. Para isso fizemos o levantamento do número de voos de chegada por base, como representado na figura 12, supondo que os 80% dos voos seriam alocados nas bases características de Hubs.</w:t>
      </w:r>
    </w:p>
    <w:p w14:paraId="092D68EB" w14:textId="77777777" w:rsidR="00A57AD8" w:rsidRDefault="00A71AFE">
      <w:pPr>
        <w:rPr>
          <w:sz w:val="22"/>
          <w:szCs w:val="22"/>
        </w:rPr>
      </w:pPr>
      <w:r>
        <w:rPr>
          <w:noProof/>
          <w:sz w:val="22"/>
          <w:szCs w:val="22"/>
        </w:rPr>
        <w:drawing>
          <wp:inline distT="0" distB="0" distL="0" distR="0" wp14:anchorId="55B9C141" wp14:editId="38150E4C">
            <wp:extent cx="6435306" cy="2467503"/>
            <wp:effectExtent l="0" t="0" r="3810" b="9525"/>
            <wp:docPr id="8230777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7782" name="Picture 8230777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8674" cy="2468794"/>
                    </a:xfrm>
                    <a:prstGeom prst="rect">
                      <a:avLst/>
                    </a:prstGeom>
                  </pic:spPr>
                </pic:pic>
              </a:graphicData>
            </a:graphic>
          </wp:inline>
        </w:drawing>
      </w:r>
    </w:p>
    <w:p w14:paraId="0D2510E7" w14:textId="72CC6D4C" w:rsidR="00A57AD8" w:rsidRPr="00FC332C" w:rsidRDefault="00A57AD8" w:rsidP="00A57AD8">
      <w:pPr>
        <w:rPr>
          <w:sz w:val="18"/>
          <w:szCs w:val="18"/>
        </w:rPr>
      </w:pPr>
      <w:r w:rsidRPr="00FC332C">
        <w:rPr>
          <w:i/>
          <w:iCs/>
          <w:noProof/>
          <w:sz w:val="18"/>
          <w:szCs w:val="18"/>
        </w:rPr>
        <w:t xml:space="preserve">Fig </w:t>
      </w:r>
      <w:r>
        <w:rPr>
          <w:i/>
          <w:iCs/>
          <w:noProof/>
          <w:sz w:val="18"/>
          <w:szCs w:val="18"/>
        </w:rPr>
        <w:t>1</w:t>
      </w:r>
      <w:r w:rsidR="002D26F0">
        <w:rPr>
          <w:i/>
          <w:iCs/>
          <w:noProof/>
          <w:sz w:val="18"/>
          <w:szCs w:val="18"/>
        </w:rPr>
        <w:t>2</w:t>
      </w:r>
      <w:r w:rsidRPr="00FC332C">
        <w:rPr>
          <w:i/>
          <w:iCs/>
          <w:noProof/>
          <w:sz w:val="18"/>
          <w:szCs w:val="18"/>
        </w:rPr>
        <w:t xml:space="preserve">: </w:t>
      </w:r>
      <w:r w:rsidR="00866A99">
        <w:rPr>
          <w:i/>
          <w:iCs/>
          <w:noProof/>
          <w:sz w:val="18"/>
          <w:szCs w:val="18"/>
        </w:rPr>
        <w:t>Distribuição de Pareto do percentual do número de chegadas por base.</w:t>
      </w:r>
    </w:p>
    <w:p w14:paraId="03EBEE63" w14:textId="77777777" w:rsidR="00A57AD8" w:rsidRDefault="00A57AD8">
      <w:pPr>
        <w:rPr>
          <w:sz w:val="22"/>
          <w:szCs w:val="22"/>
        </w:rPr>
      </w:pPr>
    </w:p>
    <w:p w14:paraId="33A445A4" w14:textId="5A0F7FB3" w:rsidR="002D26F0" w:rsidRDefault="002D26F0" w:rsidP="002D26F0">
      <w:pPr>
        <w:spacing w:after="0"/>
        <w:rPr>
          <w:sz w:val="22"/>
          <w:szCs w:val="22"/>
        </w:rPr>
      </w:pPr>
      <w:r>
        <w:rPr>
          <w:i/>
          <w:iCs/>
          <w:noProof/>
          <w:sz w:val="18"/>
          <w:szCs w:val="18"/>
        </w:rPr>
        <w:t xml:space="preserve">Tabela </w:t>
      </w:r>
      <w:r w:rsidRPr="00FC332C">
        <w:rPr>
          <w:i/>
          <w:iCs/>
          <w:noProof/>
          <w:sz w:val="18"/>
          <w:szCs w:val="18"/>
        </w:rPr>
        <w:t xml:space="preserve"> </w:t>
      </w:r>
      <w:r>
        <w:rPr>
          <w:i/>
          <w:iCs/>
          <w:noProof/>
          <w:sz w:val="18"/>
          <w:szCs w:val="18"/>
        </w:rPr>
        <w:t>3</w:t>
      </w:r>
      <w:r w:rsidRPr="00FC332C">
        <w:rPr>
          <w:i/>
          <w:iCs/>
          <w:noProof/>
          <w:sz w:val="18"/>
          <w:szCs w:val="18"/>
        </w:rPr>
        <w:t xml:space="preserve">: </w:t>
      </w:r>
      <w:r>
        <w:rPr>
          <w:i/>
          <w:iCs/>
          <w:noProof/>
          <w:sz w:val="18"/>
          <w:szCs w:val="18"/>
        </w:rPr>
        <w:t>Valores médios e medianos  do tempo de solo,  para os 10 hubs que mais receberam voos em 2026.</w:t>
      </w:r>
    </w:p>
    <w:tbl>
      <w:tblPr>
        <w:tblW w:w="1052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20"/>
      </w:tblGrid>
      <w:tr w:rsidR="005D37E6" w:rsidRPr="005D37E6" w14:paraId="61B01CF7" w14:textId="77777777" w:rsidTr="005D37E6">
        <w:trPr>
          <w:trHeight w:val="285"/>
        </w:trPr>
        <w:tc>
          <w:tcPr>
            <w:tcW w:w="960" w:type="dxa"/>
            <w:tcBorders>
              <w:top w:val="single" w:sz="8" w:space="0" w:color="auto"/>
              <w:left w:val="single" w:sz="8" w:space="0" w:color="auto"/>
              <w:bottom w:val="nil"/>
              <w:right w:val="nil"/>
            </w:tcBorders>
            <w:noWrap/>
            <w:vAlign w:val="bottom"/>
            <w:hideMark/>
          </w:tcPr>
          <w:p w14:paraId="54E556F6"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BASE</w:t>
            </w:r>
          </w:p>
        </w:tc>
        <w:tc>
          <w:tcPr>
            <w:tcW w:w="960" w:type="dxa"/>
            <w:tcBorders>
              <w:top w:val="single" w:sz="8" w:space="0" w:color="auto"/>
              <w:left w:val="nil"/>
              <w:bottom w:val="nil"/>
              <w:right w:val="single" w:sz="8" w:space="0" w:color="auto"/>
            </w:tcBorders>
            <w:noWrap/>
            <w:vAlign w:val="bottom"/>
            <w:hideMark/>
          </w:tcPr>
          <w:p w14:paraId="7D460516"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 </w:t>
            </w:r>
          </w:p>
        </w:tc>
        <w:tc>
          <w:tcPr>
            <w:tcW w:w="960" w:type="dxa"/>
            <w:tcBorders>
              <w:top w:val="single" w:sz="8" w:space="0" w:color="auto"/>
              <w:left w:val="nil"/>
              <w:bottom w:val="nil"/>
              <w:right w:val="nil"/>
            </w:tcBorders>
            <w:noWrap/>
            <w:vAlign w:val="bottom"/>
            <w:hideMark/>
          </w:tcPr>
          <w:p w14:paraId="023E288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2024</w:t>
            </w:r>
          </w:p>
        </w:tc>
        <w:tc>
          <w:tcPr>
            <w:tcW w:w="960" w:type="dxa"/>
            <w:tcBorders>
              <w:top w:val="single" w:sz="8" w:space="0" w:color="auto"/>
              <w:left w:val="nil"/>
              <w:bottom w:val="nil"/>
              <w:right w:val="nil"/>
            </w:tcBorders>
            <w:noWrap/>
            <w:vAlign w:val="bottom"/>
            <w:hideMark/>
          </w:tcPr>
          <w:p w14:paraId="25A4E576"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2025</w:t>
            </w:r>
          </w:p>
        </w:tc>
        <w:tc>
          <w:tcPr>
            <w:tcW w:w="960" w:type="dxa"/>
            <w:tcBorders>
              <w:top w:val="single" w:sz="8" w:space="0" w:color="auto"/>
              <w:left w:val="nil"/>
              <w:bottom w:val="nil"/>
              <w:right w:val="single" w:sz="8" w:space="0" w:color="auto"/>
            </w:tcBorders>
            <w:noWrap/>
            <w:vAlign w:val="bottom"/>
            <w:hideMark/>
          </w:tcPr>
          <w:p w14:paraId="4203985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2026</w:t>
            </w:r>
          </w:p>
        </w:tc>
        <w:tc>
          <w:tcPr>
            <w:tcW w:w="960" w:type="dxa"/>
            <w:tcBorders>
              <w:top w:val="single" w:sz="8" w:space="0" w:color="auto"/>
              <w:left w:val="nil"/>
              <w:bottom w:val="nil"/>
              <w:right w:val="nil"/>
            </w:tcBorders>
            <w:noWrap/>
            <w:vAlign w:val="bottom"/>
            <w:hideMark/>
          </w:tcPr>
          <w:p w14:paraId="1EF916F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2024</w:t>
            </w:r>
          </w:p>
        </w:tc>
        <w:tc>
          <w:tcPr>
            <w:tcW w:w="960" w:type="dxa"/>
            <w:tcBorders>
              <w:top w:val="single" w:sz="8" w:space="0" w:color="auto"/>
              <w:left w:val="nil"/>
              <w:bottom w:val="nil"/>
              <w:right w:val="nil"/>
            </w:tcBorders>
            <w:noWrap/>
            <w:vAlign w:val="bottom"/>
            <w:hideMark/>
          </w:tcPr>
          <w:p w14:paraId="54F363F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2025</w:t>
            </w:r>
          </w:p>
        </w:tc>
        <w:tc>
          <w:tcPr>
            <w:tcW w:w="960" w:type="dxa"/>
            <w:tcBorders>
              <w:top w:val="single" w:sz="8" w:space="0" w:color="auto"/>
              <w:left w:val="nil"/>
              <w:bottom w:val="nil"/>
              <w:right w:val="single" w:sz="8" w:space="0" w:color="auto"/>
            </w:tcBorders>
            <w:noWrap/>
            <w:vAlign w:val="bottom"/>
            <w:hideMark/>
          </w:tcPr>
          <w:p w14:paraId="184DD657"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2026</w:t>
            </w:r>
          </w:p>
        </w:tc>
        <w:tc>
          <w:tcPr>
            <w:tcW w:w="960" w:type="dxa"/>
            <w:tcBorders>
              <w:top w:val="single" w:sz="8" w:space="0" w:color="auto"/>
              <w:left w:val="nil"/>
              <w:bottom w:val="nil"/>
              <w:right w:val="nil"/>
            </w:tcBorders>
            <w:noWrap/>
            <w:vAlign w:val="bottom"/>
            <w:hideMark/>
          </w:tcPr>
          <w:p w14:paraId="7D248D8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2024</w:t>
            </w:r>
          </w:p>
        </w:tc>
        <w:tc>
          <w:tcPr>
            <w:tcW w:w="960" w:type="dxa"/>
            <w:tcBorders>
              <w:top w:val="single" w:sz="8" w:space="0" w:color="auto"/>
              <w:left w:val="nil"/>
              <w:bottom w:val="nil"/>
              <w:right w:val="nil"/>
            </w:tcBorders>
            <w:noWrap/>
            <w:vAlign w:val="bottom"/>
            <w:hideMark/>
          </w:tcPr>
          <w:p w14:paraId="7E55C67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2025</w:t>
            </w:r>
          </w:p>
        </w:tc>
        <w:tc>
          <w:tcPr>
            <w:tcW w:w="920" w:type="dxa"/>
            <w:tcBorders>
              <w:top w:val="single" w:sz="8" w:space="0" w:color="auto"/>
              <w:left w:val="nil"/>
              <w:bottom w:val="nil"/>
              <w:right w:val="single" w:sz="8" w:space="0" w:color="auto"/>
            </w:tcBorders>
            <w:noWrap/>
            <w:vAlign w:val="bottom"/>
            <w:hideMark/>
          </w:tcPr>
          <w:p w14:paraId="3BAC7277"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2026</w:t>
            </w:r>
          </w:p>
        </w:tc>
      </w:tr>
      <w:tr w:rsidR="005D37E6" w:rsidRPr="005D37E6" w14:paraId="4AFCD603" w14:textId="77777777" w:rsidTr="005D37E6">
        <w:trPr>
          <w:trHeight w:val="315"/>
        </w:trPr>
        <w:tc>
          <w:tcPr>
            <w:tcW w:w="960" w:type="dxa"/>
            <w:tcBorders>
              <w:top w:val="single" w:sz="8" w:space="0" w:color="auto"/>
              <w:left w:val="single" w:sz="8" w:space="0" w:color="auto"/>
              <w:bottom w:val="single" w:sz="8" w:space="0" w:color="auto"/>
              <w:right w:val="nil"/>
            </w:tcBorders>
            <w:noWrap/>
            <w:vAlign w:val="bottom"/>
            <w:hideMark/>
          </w:tcPr>
          <w:p w14:paraId="3C54127D"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ICAO</w:t>
            </w:r>
          </w:p>
        </w:tc>
        <w:tc>
          <w:tcPr>
            <w:tcW w:w="960" w:type="dxa"/>
            <w:tcBorders>
              <w:top w:val="single" w:sz="8" w:space="0" w:color="auto"/>
              <w:left w:val="nil"/>
              <w:bottom w:val="single" w:sz="8" w:space="0" w:color="auto"/>
              <w:right w:val="single" w:sz="8" w:space="0" w:color="auto"/>
            </w:tcBorders>
            <w:noWrap/>
            <w:vAlign w:val="bottom"/>
            <w:hideMark/>
          </w:tcPr>
          <w:p w14:paraId="00560853"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IATA</w:t>
            </w:r>
          </w:p>
        </w:tc>
        <w:tc>
          <w:tcPr>
            <w:tcW w:w="960" w:type="dxa"/>
            <w:tcBorders>
              <w:top w:val="single" w:sz="8" w:space="0" w:color="auto"/>
              <w:left w:val="nil"/>
              <w:bottom w:val="single" w:sz="8" w:space="0" w:color="auto"/>
              <w:right w:val="nil"/>
            </w:tcBorders>
            <w:noWrap/>
            <w:vAlign w:val="bottom"/>
            <w:hideMark/>
          </w:tcPr>
          <w:p w14:paraId="7F8A137E"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RANK</w:t>
            </w:r>
          </w:p>
        </w:tc>
        <w:tc>
          <w:tcPr>
            <w:tcW w:w="960" w:type="dxa"/>
            <w:tcBorders>
              <w:top w:val="single" w:sz="8" w:space="0" w:color="auto"/>
              <w:left w:val="nil"/>
              <w:bottom w:val="single" w:sz="8" w:space="0" w:color="auto"/>
              <w:right w:val="nil"/>
            </w:tcBorders>
            <w:noWrap/>
            <w:vAlign w:val="bottom"/>
            <w:hideMark/>
          </w:tcPr>
          <w:p w14:paraId="6F1AC394"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RANK</w:t>
            </w:r>
          </w:p>
        </w:tc>
        <w:tc>
          <w:tcPr>
            <w:tcW w:w="960" w:type="dxa"/>
            <w:tcBorders>
              <w:top w:val="single" w:sz="8" w:space="0" w:color="auto"/>
              <w:left w:val="nil"/>
              <w:bottom w:val="single" w:sz="8" w:space="0" w:color="auto"/>
              <w:right w:val="single" w:sz="8" w:space="0" w:color="auto"/>
            </w:tcBorders>
            <w:noWrap/>
            <w:vAlign w:val="bottom"/>
            <w:hideMark/>
          </w:tcPr>
          <w:p w14:paraId="70CE0843"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RANK</w:t>
            </w:r>
          </w:p>
        </w:tc>
        <w:tc>
          <w:tcPr>
            <w:tcW w:w="960" w:type="dxa"/>
            <w:tcBorders>
              <w:top w:val="single" w:sz="8" w:space="0" w:color="auto"/>
              <w:left w:val="nil"/>
              <w:bottom w:val="single" w:sz="8" w:space="0" w:color="auto"/>
              <w:right w:val="nil"/>
            </w:tcBorders>
            <w:noWrap/>
            <w:vAlign w:val="bottom"/>
            <w:hideMark/>
          </w:tcPr>
          <w:p w14:paraId="2B1FEA27"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Q2</w:t>
            </w:r>
          </w:p>
        </w:tc>
        <w:tc>
          <w:tcPr>
            <w:tcW w:w="960" w:type="dxa"/>
            <w:tcBorders>
              <w:top w:val="single" w:sz="8" w:space="0" w:color="auto"/>
              <w:left w:val="nil"/>
              <w:bottom w:val="single" w:sz="8" w:space="0" w:color="auto"/>
              <w:right w:val="nil"/>
            </w:tcBorders>
            <w:noWrap/>
            <w:vAlign w:val="bottom"/>
            <w:hideMark/>
          </w:tcPr>
          <w:p w14:paraId="02669EBB"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Q2</w:t>
            </w:r>
          </w:p>
        </w:tc>
        <w:tc>
          <w:tcPr>
            <w:tcW w:w="960" w:type="dxa"/>
            <w:tcBorders>
              <w:top w:val="single" w:sz="8" w:space="0" w:color="auto"/>
              <w:left w:val="nil"/>
              <w:bottom w:val="single" w:sz="8" w:space="0" w:color="auto"/>
              <w:right w:val="single" w:sz="8" w:space="0" w:color="auto"/>
            </w:tcBorders>
            <w:noWrap/>
            <w:vAlign w:val="bottom"/>
            <w:hideMark/>
          </w:tcPr>
          <w:p w14:paraId="35E42721"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Q2</w:t>
            </w:r>
          </w:p>
        </w:tc>
        <w:tc>
          <w:tcPr>
            <w:tcW w:w="960" w:type="dxa"/>
            <w:tcBorders>
              <w:top w:val="single" w:sz="8" w:space="0" w:color="auto"/>
              <w:left w:val="nil"/>
              <w:bottom w:val="single" w:sz="8" w:space="0" w:color="auto"/>
              <w:right w:val="nil"/>
            </w:tcBorders>
            <w:noWrap/>
            <w:vAlign w:val="bottom"/>
            <w:hideMark/>
          </w:tcPr>
          <w:p w14:paraId="0CBDE380"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MEDIA</w:t>
            </w:r>
          </w:p>
        </w:tc>
        <w:tc>
          <w:tcPr>
            <w:tcW w:w="960" w:type="dxa"/>
            <w:tcBorders>
              <w:top w:val="single" w:sz="8" w:space="0" w:color="auto"/>
              <w:left w:val="nil"/>
              <w:bottom w:val="single" w:sz="8" w:space="0" w:color="auto"/>
              <w:right w:val="nil"/>
            </w:tcBorders>
            <w:noWrap/>
            <w:vAlign w:val="bottom"/>
            <w:hideMark/>
          </w:tcPr>
          <w:p w14:paraId="6BCD6D0E"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MEDIA</w:t>
            </w:r>
          </w:p>
        </w:tc>
        <w:tc>
          <w:tcPr>
            <w:tcW w:w="920" w:type="dxa"/>
            <w:tcBorders>
              <w:top w:val="single" w:sz="8" w:space="0" w:color="auto"/>
              <w:left w:val="nil"/>
              <w:bottom w:val="single" w:sz="8" w:space="0" w:color="auto"/>
              <w:right w:val="single" w:sz="8" w:space="0" w:color="auto"/>
            </w:tcBorders>
            <w:noWrap/>
            <w:vAlign w:val="bottom"/>
            <w:hideMark/>
          </w:tcPr>
          <w:p w14:paraId="42DD9DD5"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MEDIA</w:t>
            </w:r>
          </w:p>
        </w:tc>
      </w:tr>
      <w:tr w:rsidR="005D37E6" w:rsidRPr="005D37E6" w14:paraId="0C046859" w14:textId="77777777" w:rsidTr="005D37E6">
        <w:trPr>
          <w:trHeight w:val="300"/>
        </w:trPr>
        <w:tc>
          <w:tcPr>
            <w:tcW w:w="960" w:type="dxa"/>
            <w:tcBorders>
              <w:top w:val="nil"/>
              <w:left w:val="single" w:sz="8" w:space="0" w:color="auto"/>
              <w:bottom w:val="nil"/>
              <w:right w:val="nil"/>
            </w:tcBorders>
            <w:noWrap/>
            <w:vAlign w:val="bottom"/>
            <w:hideMark/>
          </w:tcPr>
          <w:p w14:paraId="60AAFE90"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SBSP</w:t>
            </w:r>
          </w:p>
        </w:tc>
        <w:tc>
          <w:tcPr>
            <w:tcW w:w="960" w:type="dxa"/>
            <w:tcBorders>
              <w:top w:val="nil"/>
              <w:left w:val="nil"/>
              <w:bottom w:val="nil"/>
              <w:right w:val="single" w:sz="8" w:space="0" w:color="auto"/>
            </w:tcBorders>
            <w:noWrap/>
            <w:vAlign w:val="bottom"/>
            <w:hideMark/>
          </w:tcPr>
          <w:p w14:paraId="1AF4D379"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CGH</w:t>
            </w:r>
          </w:p>
        </w:tc>
        <w:tc>
          <w:tcPr>
            <w:tcW w:w="960" w:type="dxa"/>
            <w:tcBorders>
              <w:top w:val="nil"/>
              <w:left w:val="nil"/>
              <w:bottom w:val="nil"/>
              <w:right w:val="nil"/>
            </w:tcBorders>
            <w:noWrap/>
            <w:vAlign w:val="bottom"/>
            <w:hideMark/>
          </w:tcPr>
          <w:p w14:paraId="3D6197C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w:t>
            </w:r>
          </w:p>
        </w:tc>
        <w:tc>
          <w:tcPr>
            <w:tcW w:w="960" w:type="dxa"/>
            <w:tcBorders>
              <w:top w:val="nil"/>
              <w:left w:val="nil"/>
              <w:bottom w:val="nil"/>
              <w:right w:val="nil"/>
            </w:tcBorders>
            <w:noWrap/>
            <w:vAlign w:val="bottom"/>
            <w:hideMark/>
          </w:tcPr>
          <w:p w14:paraId="6408B0CA"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w:t>
            </w:r>
          </w:p>
        </w:tc>
        <w:tc>
          <w:tcPr>
            <w:tcW w:w="960" w:type="dxa"/>
            <w:tcBorders>
              <w:top w:val="nil"/>
              <w:left w:val="nil"/>
              <w:bottom w:val="nil"/>
              <w:right w:val="single" w:sz="8" w:space="0" w:color="auto"/>
            </w:tcBorders>
            <w:noWrap/>
            <w:vAlign w:val="bottom"/>
            <w:hideMark/>
          </w:tcPr>
          <w:p w14:paraId="3C732D1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w:t>
            </w:r>
          </w:p>
        </w:tc>
        <w:tc>
          <w:tcPr>
            <w:tcW w:w="960" w:type="dxa"/>
            <w:tcBorders>
              <w:top w:val="nil"/>
              <w:left w:val="nil"/>
              <w:bottom w:val="nil"/>
              <w:right w:val="nil"/>
            </w:tcBorders>
            <w:noWrap/>
            <w:vAlign w:val="bottom"/>
            <w:hideMark/>
          </w:tcPr>
          <w:p w14:paraId="2996BBC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71</w:t>
            </w:r>
          </w:p>
        </w:tc>
        <w:tc>
          <w:tcPr>
            <w:tcW w:w="960" w:type="dxa"/>
            <w:tcBorders>
              <w:top w:val="nil"/>
              <w:left w:val="nil"/>
              <w:bottom w:val="nil"/>
              <w:right w:val="nil"/>
            </w:tcBorders>
            <w:noWrap/>
            <w:vAlign w:val="bottom"/>
            <w:hideMark/>
          </w:tcPr>
          <w:p w14:paraId="16AEA00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71</w:t>
            </w:r>
          </w:p>
        </w:tc>
        <w:tc>
          <w:tcPr>
            <w:tcW w:w="960" w:type="dxa"/>
            <w:tcBorders>
              <w:top w:val="nil"/>
              <w:left w:val="nil"/>
              <w:bottom w:val="nil"/>
              <w:right w:val="single" w:sz="8" w:space="0" w:color="auto"/>
            </w:tcBorders>
            <w:noWrap/>
            <w:vAlign w:val="bottom"/>
            <w:hideMark/>
          </w:tcPr>
          <w:p w14:paraId="443D109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72</w:t>
            </w:r>
          </w:p>
        </w:tc>
        <w:tc>
          <w:tcPr>
            <w:tcW w:w="960" w:type="dxa"/>
            <w:tcBorders>
              <w:top w:val="nil"/>
              <w:left w:val="nil"/>
              <w:bottom w:val="nil"/>
              <w:right w:val="nil"/>
            </w:tcBorders>
            <w:noWrap/>
            <w:vAlign w:val="bottom"/>
            <w:hideMark/>
          </w:tcPr>
          <w:p w14:paraId="75B35776"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79</w:t>
            </w:r>
          </w:p>
        </w:tc>
        <w:tc>
          <w:tcPr>
            <w:tcW w:w="960" w:type="dxa"/>
            <w:tcBorders>
              <w:top w:val="nil"/>
              <w:left w:val="nil"/>
              <w:bottom w:val="nil"/>
              <w:right w:val="nil"/>
            </w:tcBorders>
            <w:noWrap/>
            <w:vAlign w:val="bottom"/>
            <w:hideMark/>
          </w:tcPr>
          <w:p w14:paraId="7C2F307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79</w:t>
            </w:r>
          </w:p>
        </w:tc>
        <w:tc>
          <w:tcPr>
            <w:tcW w:w="920" w:type="dxa"/>
            <w:tcBorders>
              <w:top w:val="nil"/>
              <w:left w:val="nil"/>
              <w:bottom w:val="nil"/>
              <w:right w:val="single" w:sz="8" w:space="0" w:color="auto"/>
            </w:tcBorders>
            <w:noWrap/>
            <w:vAlign w:val="bottom"/>
            <w:hideMark/>
          </w:tcPr>
          <w:p w14:paraId="3962528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80</w:t>
            </w:r>
          </w:p>
        </w:tc>
      </w:tr>
      <w:tr w:rsidR="005D37E6" w:rsidRPr="005D37E6" w14:paraId="17520663" w14:textId="77777777" w:rsidTr="005D37E6">
        <w:trPr>
          <w:trHeight w:val="300"/>
        </w:trPr>
        <w:tc>
          <w:tcPr>
            <w:tcW w:w="960" w:type="dxa"/>
            <w:tcBorders>
              <w:top w:val="nil"/>
              <w:left w:val="single" w:sz="8" w:space="0" w:color="auto"/>
              <w:bottom w:val="nil"/>
              <w:right w:val="nil"/>
            </w:tcBorders>
            <w:noWrap/>
            <w:vAlign w:val="bottom"/>
            <w:hideMark/>
          </w:tcPr>
          <w:p w14:paraId="2023E25F"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SBGR</w:t>
            </w:r>
          </w:p>
        </w:tc>
        <w:tc>
          <w:tcPr>
            <w:tcW w:w="960" w:type="dxa"/>
            <w:tcBorders>
              <w:top w:val="nil"/>
              <w:left w:val="nil"/>
              <w:bottom w:val="nil"/>
              <w:right w:val="single" w:sz="8" w:space="0" w:color="auto"/>
            </w:tcBorders>
            <w:noWrap/>
            <w:vAlign w:val="bottom"/>
            <w:hideMark/>
          </w:tcPr>
          <w:p w14:paraId="1BB0074B"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GRU</w:t>
            </w:r>
          </w:p>
        </w:tc>
        <w:tc>
          <w:tcPr>
            <w:tcW w:w="960" w:type="dxa"/>
            <w:tcBorders>
              <w:top w:val="nil"/>
              <w:left w:val="nil"/>
              <w:bottom w:val="nil"/>
              <w:right w:val="nil"/>
            </w:tcBorders>
            <w:noWrap/>
            <w:vAlign w:val="bottom"/>
            <w:hideMark/>
          </w:tcPr>
          <w:p w14:paraId="4B14853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w:t>
            </w:r>
          </w:p>
        </w:tc>
        <w:tc>
          <w:tcPr>
            <w:tcW w:w="960" w:type="dxa"/>
            <w:tcBorders>
              <w:top w:val="nil"/>
              <w:left w:val="nil"/>
              <w:bottom w:val="nil"/>
              <w:right w:val="nil"/>
            </w:tcBorders>
            <w:noWrap/>
            <w:vAlign w:val="bottom"/>
            <w:hideMark/>
          </w:tcPr>
          <w:p w14:paraId="6D48497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w:t>
            </w:r>
          </w:p>
        </w:tc>
        <w:tc>
          <w:tcPr>
            <w:tcW w:w="960" w:type="dxa"/>
            <w:tcBorders>
              <w:top w:val="nil"/>
              <w:left w:val="nil"/>
              <w:bottom w:val="nil"/>
              <w:right w:val="single" w:sz="8" w:space="0" w:color="auto"/>
            </w:tcBorders>
            <w:noWrap/>
            <w:vAlign w:val="bottom"/>
            <w:hideMark/>
          </w:tcPr>
          <w:p w14:paraId="0936CE3F"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2</w:t>
            </w:r>
          </w:p>
        </w:tc>
        <w:tc>
          <w:tcPr>
            <w:tcW w:w="960" w:type="dxa"/>
            <w:tcBorders>
              <w:top w:val="nil"/>
              <w:left w:val="nil"/>
              <w:bottom w:val="nil"/>
              <w:right w:val="nil"/>
            </w:tcBorders>
            <w:noWrap/>
            <w:vAlign w:val="bottom"/>
            <w:hideMark/>
          </w:tcPr>
          <w:p w14:paraId="1692F7F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80</w:t>
            </w:r>
          </w:p>
        </w:tc>
        <w:tc>
          <w:tcPr>
            <w:tcW w:w="960" w:type="dxa"/>
            <w:tcBorders>
              <w:top w:val="nil"/>
              <w:left w:val="nil"/>
              <w:bottom w:val="nil"/>
              <w:right w:val="nil"/>
            </w:tcBorders>
            <w:noWrap/>
            <w:vAlign w:val="bottom"/>
            <w:hideMark/>
          </w:tcPr>
          <w:p w14:paraId="1F3F979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80</w:t>
            </w:r>
          </w:p>
        </w:tc>
        <w:tc>
          <w:tcPr>
            <w:tcW w:w="960" w:type="dxa"/>
            <w:tcBorders>
              <w:top w:val="nil"/>
              <w:left w:val="nil"/>
              <w:bottom w:val="nil"/>
              <w:right w:val="single" w:sz="8" w:space="0" w:color="auto"/>
            </w:tcBorders>
            <w:noWrap/>
            <w:vAlign w:val="bottom"/>
            <w:hideMark/>
          </w:tcPr>
          <w:p w14:paraId="65A78C6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86</w:t>
            </w:r>
          </w:p>
        </w:tc>
        <w:tc>
          <w:tcPr>
            <w:tcW w:w="960" w:type="dxa"/>
            <w:tcBorders>
              <w:top w:val="nil"/>
              <w:left w:val="nil"/>
              <w:bottom w:val="nil"/>
              <w:right w:val="nil"/>
            </w:tcBorders>
            <w:noWrap/>
            <w:vAlign w:val="bottom"/>
            <w:hideMark/>
          </w:tcPr>
          <w:p w14:paraId="67C1C0E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88</w:t>
            </w:r>
          </w:p>
        </w:tc>
        <w:tc>
          <w:tcPr>
            <w:tcW w:w="960" w:type="dxa"/>
            <w:tcBorders>
              <w:top w:val="nil"/>
              <w:left w:val="nil"/>
              <w:bottom w:val="nil"/>
              <w:right w:val="nil"/>
            </w:tcBorders>
            <w:noWrap/>
            <w:vAlign w:val="bottom"/>
            <w:hideMark/>
          </w:tcPr>
          <w:p w14:paraId="0F1333D2"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89</w:t>
            </w:r>
          </w:p>
        </w:tc>
        <w:tc>
          <w:tcPr>
            <w:tcW w:w="920" w:type="dxa"/>
            <w:tcBorders>
              <w:top w:val="nil"/>
              <w:left w:val="nil"/>
              <w:bottom w:val="nil"/>
              <w:right w:val="single" w:sz="8" w:space="0" w:color="auto"/>
            </w:tcBorders>
            <w:noWrap/>
            <w:vAlign w:val="bottom"/>
            <w:hideMark/>
          </w:tcPr>
          <w:p w14:paraId="6EB7AC1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94</w:t>
            </w:r>
          </w:p>
        </w:tc>
      </w:tr>
      <w:tr w:rsidR="005D37E6" w:rsidRPr="005D37E6" w14:paraId="254F5D8F" w14:textId="77777777" w:rsidTr="005D37E6">
        <w:trPr>
          <w:trHeight w:val="300"/>
        </w:trPr>
        <w:tc>
          <w:tcPr>
            <w:tcW w:w="960" w:type="dxa"/>
            <w:tcBorders>
              <w:top w:val="nil"/>
              <w:left w:val="single" w:sz="8" w:space="0" w:color="auto"/>
              <w:bottom w:val="nil"/>
              <w:right w:val="nil"/>
            </w:tcBorders>
            <w:noWrap/>
            <w:vAlign w:val="bottom"/>
            <w:hideMark/>
          </w:tcPr>
          <w:p w14:paraId="40CBCC92"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SBGL</w:t>
            </w:r>
          </w:p>
        </w:tc>
        <w:tc>
          <w:tcPr>
            <w:tcW w:w="960" w:type="dxa"/>
            <w:tcBorders>
              <w:top w:val="nil"/>
              <w:left w:val="nil"/>
              <w:bottom w:val="nil"/>
              <w:right w:val="single" w:sz="8" w:space="0" w:color="auto"/>
            </w:tcBorders>
            <w:noWrap/>
            <w:vAlign w:val="bottom"/>
            <w:hideMark/>
          </w:tcPr>
          <w:p w14:paraId="6573D740"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GIG</w:t>
            </w:r>
          </w:p>
        </w:tc>
        <w:tc>
          <w:tcPr>
            <w:tcW w:w="960" w:type="dxa"/>
            <w:tcBorders>
              <w:top w:val="nil"/>
              <w:left w:val="nil"/>
              <w:bottom w:val="nil"/>
              <w:right w:val="nil"/>
            </w:tcBorders>
            <w:noWrap/>
            <w:vAlign w:val="bottom"/>
            <w:hideMark/>
          </w:tcPr>
          <w:p w14:paraId="2815A6C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3</w:t>
            </w:r>
          </w:p>
        </w:tc>
        <w:tc>
          <w:tcPr>
            <w:tcW w:w="960" w:type="dxa"/>
            <w:tcBorders>
              <w:top w:val="nil"/>
              <w:left w:val="nil"/>
              <w:bottom w:val="nil"/>
              <w:right w:val="nil"/>
            </w:tcBorders>
            <w:noWrap/>
            <w:vAlign w:val="bottom"/>
            <w:hideMark/>
          </w:tcPr>
          <w:p w14:paraId="61AB71F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3</w:t>
            </w:r>
          </w:p>
        </w:tc>
        <w:tc>
          <w:tcPr>
            <w:tcW w:w="960" w:type="dxa"/>
            <w:tcBorders>
              <w:top w:val="nil"/>
              <w:left w:val="nil"/>
              <w:bottom w:val="nil"/>
              <w:right w:val="single" w:sz="8" w:space="0" w:color="auto"/>
            </w:tcBorders>
            <w:noWrap/>
            <w:vAlign w:val="bottom"/>
            <w:hideMark/>
          </w:tcPr>
          <w:p w14:paraId="0940C70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3</w:t>
            </w:r>
          </w:p>
        </w:tc>
        <w:tc>
          <w:tcPr>
            <w:tcW w:w="960" w:type="dxa"/>
            <w:tcBorders>
              <w:top w:val="nil"/>
              <w:left w:val="nil"/>
              <w:bottom w:val="nil"/>
              <w:right w:val="nil"/>
            </w:tcBorders>
            <w:noWrap/>
            <w:vAlign w:val="bottom"/>
            <w:hideMark/>
          </w:tcPr>
          <w:p w14:paraId="151F783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62</w:t>
            </w:r>
          </w:p>
        </w:tc>
        <w:tc>
          <w:tcPr>
            <w:tcW w:w="960" w:type="dxa"/>
            <w:tcBorders>
              <w:top w:val="nil"/>
              <w:left w:val="nil"/>
              <w:bottom w:val="nil"/>
              <w:right w:val="nil"/>
            </w:tcBorders>
            <w:noWrap/>
            <w:vAlign w:val="bottom"/>
            <w:hideMark/>
          </w:tcPr>
          <w:p w14:paraId="73546DD6"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65</w:t>
            </w:r>
          </w:p>
        </w:tc>
        <w:tc>
          <w:tcPr>
            <w:tcW w:w="960" w:type="dxa"/>
            <w:tcBorders>
              <w:top w:val="nil"/>
              <w:left w:val="nil"/>
              <w:bottom w:val="nil"/>
              <w:right w:val="single" w:sz="8" w:space="0" w:color="auto"/>
            </w:tcBorders>
            <w:noWrap/>
            <w:vAlign w:val="bottom"/>
            <w:hideMark/>
          </w:tcPr>
          <w:p w14:paraId="090694FF"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70</w:t>
            </w:r>
          </w:p>
        </w:tc>
        <w:tc>
          <w:tcPr>
            <w:tcW w:w="960" w:type="dxa"/>
            <w:tcBorders>
              <w:top w:val="nil"/>
              <w:left w:val="nil"/>
              <w:bottom w:val="nil"/>
              <w:right w:val="nil"/>
            </w:tcBorders>
            <w:noWrap/>
            <w:vAlign w:val="bottom"/>
            <w:hideMark/>
          </w:tcPr>
          <w:p w14:paraId="5C8E9DA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73</w:t>
            </w:r>
          </w:p>
        </w:tc>
        <w:tc>
          <w:tcPr>
            <w:tcW w:w="960" w:type="dxa"/>
            <w:tcBorders>
              <w:top w:val="nil"/>
              <w:left w:val="nil"/>
              <w:bottom w:val="nil"/>
              <w:right w:val="nil"/>
            </w:tcBorders>
            <w:noWrap/>
            <w:vAlign w:val="bottom"/>
            <w:hideMark/>
          </w:tcPr>
          <w:p w14:paraId="6641FCA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75</w:t>
            </w:r>
          </w:p>
        </w:tc>
        <w:tc>
          <w:tcPr>
            <w:tcW w:w="920" w:type="dxa"/>
            <w:tcBorders>
              <w:top w:val="nil"/>
              <w:left w:val="nil"/>
              <w:bottom w:val="nil"/>
              <w:right w:val="single" w:sz="8" w:space="0" w:color="auto"/>
            </w:tcBorders>
            <w:noWrap/>
            <w:vAlign w:val="bottom"/>
            <w:hideMark/>
          </w:tcPr>
          <w:p w14:paraId="0C86AAB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82</w:t>
            </w:r>
          </w:p>
        </w:tc>
      </w:tr>
      <w:tr w:rsidR="005D37E6" w:rsidRPr="005D37E6" w14:paraId="345F6D00" w14:textId="77777777" w:rsidTr="005D37E6">
        <w:trPr>
          <w:trHeight w:val="300"/>
        </w:trPr>
        <w:tc>
          <w:tcPr>
            <w:tcW w:w="960" w:type="dxa"/>
            <w:tcBorders>
              <w:top w:val="nil"/>
              <w:left w:val="single" w:sz="8" w:space="0" w:color="auto"/>
              <w:bottom w:val="nil"/>
              <w:right w:val="nil"/>
            </w:tcBorders>
            <w:noWrap/>
            <w:vAlign w:val="bottom"/>
            <w:hideMark/>
          </w:tcPr>
          <w:p w14:paraId="70C50A31"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SBBR</w:t>
            </w:r>
          </w:p>
        </w:tc>
        <w:tc>
          <w:tcPr>
            <w:tcW w:w="960" w:type="dxa"/>
            <w:tcBorders>
              <w:top w:val="nil"/>
              <w:left w:val="nil"/>
              <w:bottom w:val="nil"/>
              <w:right w:val="single" w:sz="8" w:space="0" w:color="auto"/>
            </w:tcBorders>
            <w:noWrap/>
            <w:vAlign w:val="bottom"/>
            <w:hideMark/>
          </w:tcPr>
          <w:p w14:paraId="5224F26F"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BSB</w:t>
            </w:r>
          </w:p>
        </w:tc>
        <w:tc>
          <w:tcPr>
            <w:tcW w:w="960" w:type="dxa"/>
            <w:tcBorders>
              <w:top w:val="nil"/>
              <w:left w:val="nil"/>
              <w:bottom w:val="nil"/>
              <w:right w:val="nil"/>
            </w:tcBorders>
            <w:noWrap/>
            <w:vAlign w:val="bottom"/>
            <w:hideMark/>
          </w:tcPr>
          <w:p w14:paraId="6E75773F"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w:t>
            </w:r>
          </w:p>
        </w:tc>
        <w:tc>
          <w:tcPr>
            <w:tcW w:w="960" w:type="dxa"/>
            <w:tcBorders>
              <w:top w:val="nil"/>
              <w:left w:val="nil"/>
              <w:bottom w:val="nil"/>
              <w:right w:val="nil"/>
            </w:tcBorders>
            <w:noWrap/>
            <w:vAlign w:val="bottom"/>
            <w:hideMark/>
          </w:tcPr>
          <w:p w14:paraId="2B6C8D72"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w:t>
            </w:r>
          </w:p>
        </w:tc>
        <w:tc>
          <w:tcPr>
            <w:tcW w:w="960" w:type="dxa"/>
            <w:tcBorders>
              <w:top w:val="nil"/>
              <w:left w:val="nil"/>
              <w:bottom w:val="nil"/>
              <w:right w:val="single" w:sz="8" w:space="0" w:color="auto"/>
            </w:tcBorders>
            <w:noWrap/>
            <w:vAlign w:val="bottom"/>
            <w:hideMark/>
          </w:tcPr>
          <w:p w14:paraId="7E7B151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w:t>
            </w:r>
          </w:p>
        </w:tc>
        <w:tc>
          <w:tcPr>
            <w:tcW w:w="960" w:type="dxa"/>
            <w:tcBorders>
              <w:top w:val="nil"/>
              <w:left w:val="nil"/>
              <w:bottom w:val="nil"/>
              <w:right w:val="nil"/>
            </w:tcBorders>
            <w:noWrap/>
            <w:vAlign w:val="bottom"/>
            <w:hideMark/>
          </w:tcPr>
          <w:p w14:paraId="52E4386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71</w:t>
            </w:r>
          </w:p>
        </w:tc>
        <w:tc>
          <w:tcPr>
            <w:tcW w:w="960" w:type="dxa"/>
            <w:tcBorders>
              <w:top w:val="nil"/>
              <w:left w:val="nil"/>
              <w:bottom w:val="nil"/>
              <w:right w:val="nil"/>
            </w:tcBorders>
            <w:noWrap/>
            <w:vAlign w:val="bottom"/>
            <w:hideMark/>
          </w:tcPr>
          <w:p w14:paraId="1854410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72</w:t>
            </w:r>
          </w:p>
        </w:tc>
        <w:tc>
          <w:tcPr>
            <w:tcW w:w="960" w:type="dxa"/>
            <w:tcBorders>
              <w:top w:val="nil"/>
              <w:left w:val="nil"/>
              <w:bottom w:val="nil"/>
              <w:right w:val="single" w:sz="8" w:space="0" w:color="auto"/>
            </w:tcBorders>
            <w:noWrap/>
            <w:vAlign w:val="bottom"/>
            <w:hideMark/>
          </w:tcPr>
          <w:p w14:paraId="735058B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79</w:t>
            </w:r>
          </w:p>
        </w:tc>
        <w:tc>
          <w:tcPr>
            <w:tcW w:w="960" w:type="dxa"/>
            <w:tcBorders>
              <w:top w:val="nil"/>
              <w:left w:val="nil"/>
              <w:bottom w:val="nil"/>
              <w:right w:val="nil"/>
            </w:tcBorders>
            <w:noWrap/>
            <w:vAlign w:val="bottom"/>
            <w:hideMark/>
          </w:tcPr>
          <w:p w14:paraId="6C67C815"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81</w:t>
            </w:r>
          </w:p>
        </w:tc>
        <w:tc>
          <w:tcPr>
            <w:tcW w:w="960" w:type="dxa"/>
            <w:tcBorders>
              <w:top w:val="nil"/>
              <w:left w:val="nil"/>
              <w:bottom w:val="nil"/>
              <w:right w:val="nil"/>
            </w:tcBorders>
            <w:noWrap/>
            <w:vAlign w:val="bottom"/>
            <w:hideMark/>
          </w:tcPr>
          <w:p w14:paraId="6473AD9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82</w:t>
            </w:r>
          </w:p>
        </w:tc>
        <w:tc>
          <w:tcPr>
            <w:tcW w:w="920" w:type="dxa"/>
            <w:tcBorders>
              <w:top w:val="nil"/>
              <w:left w:val="nil"/>
              <w:bottom w:val="nil"/>
              <w:right w:val="single" w:sz="8" w:space="0" w:color="auto"/>
            </w:tcBorders>
            <w:noWrap/>
            <w:vAlign w:val="bottom"/>
            <w:hideMark/>
          </w:tcPr>
          <w:p w14:paraId="44D82DB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88</w:t>
            </w:r>
          </w:p>
        </w:tc>
      </w:tr>
      <w:tr w:rsidR="005D37E6" w:rsidRPr="005D37E6" w14:paraId="7D71D66F" w14:textId="77777777" w:rsidTr="005D37E6">
        <w:trPr>
          <w:trHeight w:val="300"/>
        </w:trPr>
        <w:tc>
          <w:tcPr>
            <w:tcW w:w="960" w:type="dxa"/>
            <w:tcBorders>
              <w:top w:val="nil"/>
              <w:left w:val="single" w:sz="8" w:space="0" w:color="auto"/>
              <w:bottom w:val="nil"/>
              <w:right w:val="nil"/>
            </w:tcBorders>
            <w:noWrap/>
            <w:vAlign w:val="bottom"/>
            <w:hideMark/>
          </w:tcPr>
          <w:p w14:paraId="4BE55B76"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SBSV</w:t>
            </w:r>
          </w:p>
        </w:tc>
        <w:tc>
          <w:tcPr>
            <w:tcW w:w="960" w:type="dxa"/>
            <w:tcBorders>
              <w:top w:val="nil"/>
              <w:left w:val="nil"/>
              <w:bottom w:val="nil"/>
              <w:right w:val="single" w:sz="8" w:space="0" w:color="auto"/>
            </w:tcBorders>
            <w:noWrap/>
            <w:vAlign w:val="bottom"/>
            <w:hideMark/>
          </w:tcPr>
          <w:p w14:paraId="38F29C21"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SSA</w:t>
            </w:r>
          </w:p>
        </w:tc>
        <w:tc>
          <w:tcPr>
            <w:tcW w:w="960" w:type="dxa"/>
            <w:tcBorders>
              <w:top w:val="nil"/>
              <w:left w:val="nil"/>
              <w:bottom w:val="nil"/>
              <w:right w:val="nil"/>
            </w:tcBorders>
            <w:noWrap/>
            <w:vAlign w:val="bottom"/>
            <w:hideMark/>
          </w:tcPr>
          <w:p w14:paraId="4E5C64C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w:t>
            </w:r>
          </w:p>
        </w:tc>
        <w:tc>
          <w:tcPr>
            <w:tcW w:w="960" w:type="dxa"/>
            <w:tcBorders>
              <w:top w:val="nil"/>
              <w:left w:val="nil"/>
              <w:bottom w:val="nil"/>
              <w:right w:val="nil"/>
            </w:tcBorders>
            <w:noWrap/>
            <w:vAlign w:val="bottom"/>
            <w:hideMark/>
          </w:tcPr>
          <w:p w14:paraId="4993B28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w:t>
            </w:r>
          </w:p>
        </w:tc>
        <w:tc>
          <w:tcPr>
            <w:tcW w:w="960" w:type="dxa"/>
            <w:tcBorders>
              <w:top w:val="nil"/>
              <w:left w:val="nil"/>
              <w:bottom w:val="nil"/>
              <w:right w:val="single" w:sz="8" w:space="0" w:color="auto"/>
            </w:tcBorders>
            <w:noWrap/>
            <w:vAlign w:val="bottom"/>
            <w:hideMark/>
          </w:tcPr>
          <w:p w14:paraId="4235161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w:t>
            </w:r>
          </w:p>
        </w:tc>
        <w:tc>
          <w:tcPr>
            <w:tcW w:w="960" w:type="dxa"/>
            <w:tcBorders>
              <w:top w:val="nil"/>
              <w:left w:val="nil"/>
              <w:bottom w:val="nil"/>
              <w:right w:val="nil"/>
            </w:tcBorders>
            <w:noWrap/>
            <w:vAlign w:val="bottom"/>
            <w:hideMark/>
          </w:tcPr>
          <w:p w14:paraId="099D9F3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54</w:t>
            </w:r>
          </w:p>
        </w:tc>
        <w:tc>
          <w:tcPr>
            <w:tcW w:w="960" w:type="dxa"/>
            <w:tcBorders>
              <w:top w:val="nil"/>
              <w:left w:val="nil"/>
              <w:bottom w:val="nil"/>
              <w:right w:val="nil"/>
            </w:tcBorders>
            <w:noWrap/>
            <w:vAlign w:val="bottom"/>
            <w:hideMark/>
          </w:tcPr>
          <w:p w14:paraId="7EF2BF0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57</w:t>
            </w:r>
          </w:p>
        </w:tc>
        <w:tc>
          <w:tcPr>
            <w:tcW w:w="960" w:type="dxa"/>
            <w:tcBorders>
              <w:top w:val="nil"/>
              <w:left w:val="nil"/>
              <w:bottom w:val="nil"/>
              <w:right w:val="single" w:sz="8" w:space="0" w:color="auto"/>
            </w:tcBorders>
            <w:noWrap/>
            <w:vAlign w:val="bottom"/>
            <w:hideMark/>
          </w:tcPr>
          <w:p w14:paraId="4198320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60</w:t>
            </w:r>
          </w:p>
        </w:tc>
        <w:tc>
          <w:tcPr>
            <w:tcW w:w="960" w:type="dxa"/>
            <w:tcBorders>
              <w:top w:val="nil"/>
              <w:left w:val="nil"/>
              <w:bottom w:val="nil"/>
              <w:right w:val="nil"/>
            </w:tcBorders>
            <w:noWrap/>
            <w:vAlign w:val="bottom"/>
            <w:hideMark/>
          </w:tcPr>
          <w:p w14:paraId="06C454B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64</w:t>
            </w:r>
          </w:p>
        </w:tc>
        <w:tc>
          <w:tcPr>
            <w:tcW w:w="960" w:type="dxa"/>
            <w:tcBorders>
              <w:top w:val="nil"/>
              <w:left w:val="nil"/>
              <w:bottom w:val="nil"/>
              <w:right w:val="nil"/>
            </w:tcBorders>
            <w:noWrap/>
            <w:vAlign w:val="bottom"/>
            <w:hideMark/>
          </w:tcPr>
          <w:p w14:paraId="34F2DB5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67</w:t>
            </w:r>
          </w:p>
        </w:tc>
        <w:tc>
          <w:tcPr>
            <w:tcW w:w="920" w:type="dxa"/>
            <w:tcBorders>
              <w:top w:val="nil"/>
              <w:left w:val="nil"/>
              <w:bottom w:val="nil"/>
              <w:right w:val="single" w:sz="8" w:space="0" w:color="auto"/>
            </w:tcBorders>
            <w:noWrap/>
            <w:vAlign w:val="bottom"/>
            <w:hideMark/>
          </w:tcPr>
          <w:p w14:paraId="63D5001A"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69</w:t>
            </w:r>
          </w:p>
        </w:tc>
      </w:tr>
      <w:tr w:rsidR="005D37E6" w:rsidRPr="005D37E6" w14:paraId="67A62563" w14:textId="77777777" w:rsidTr="005D37E6">
        <w:trPr>
          <w:trHeight w:val="300"/>
        </w:trPr>
        <w:tc>
          <w:tcPr>
            <w:tcW w:w="960" w:type="dxa"/>
            <w:tcBorders>
              <w:top w:val="nil"/>
              <w:left w:val="single" w:sz="8" w:space="0" w:color="auto"/>
              <w:bottom w:val="nil"/>
              <w:right w:val="nil"/>
            </w:tcBorders>
            <w:noWrap/>
            <w:vAlign w:val="bottom"/>
            <w:hideMark/>
          </w:tcPr>
          <w:p w14:paraId="133C5D3C"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SBRJ</w:t>
            </w:r>
          </w:p>
        </w:tc>
        <w:tc>
          <w:tcPr>
            <w:tcW w:w="960" w:type="dxa"/>
            <w:tcBorders>
              <w:top w:val="nil"/>
              <w:left w:val="nil"/>
              <w:bottom w:val="nil"/>
              <w:right w:val="single" w:sz="8" w:space="0" w:color="auto"/>
            </w:tcBorders>
            <w:noWrap/>
            <w:vAlign w:val="bottom"/>
            <w:hideMark/>
          </w:tcPr>
          <w:p w14:paraId="0DD1727C"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SDU</w:t>
            </w:r>
          </w:p>
        </w:tc>
        <w:tc>
          <w:tcPr>
            <w:tcW w:w="960" w:type="dxa"/>
            <w:tcBorders>
              <w:top w:val="nil"/>
              <w:left w:val="nil"/>
              <w:bottom w:val="nil"/>
              <w:right w:val="nil"/>
            </w:tcBorders>
            <w:noWrap/>
            <w:vAlign w:val="bottom"/>
            <w:hideMark/>
          </w:tcPr>
          <w:p w14:paraId="3721AE8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w:t>
            </w:r>
          </w:p>
        </w:tc>
        <w:tc>
          <w:tcPr>
            <w:tcW w:w="960" w:type="dxa"/>
            <w:tcBorders>
              <w:top w:val="nil"/>
              <w:left w:val="nil"/>
              <w:bottom w:val="nil"/>
              <w:right w:val="nil"/>
            </w:tcBorders>
            <w:noWrap/>
            <w:vAlign w:val="bottom"/>
            <w:hideMark/>
          </w:tcPr>
          <w:p w14:paraId="22323735"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w:t>
            </w:r>
          </w:p>
        </w:tc>
        <w:tc>
          <w:tcPr>
            <w:tcW w:w="960" w:type="dxa"/>
            <w:tcBorders>
              <w:top w:val="nil"/>
              <w:left w:val="nil"/>
              <w:bottom w:val="nil"/>
              <w:right w:val="single" w:sz="8" w:space="0" w:color="auto"/>
            </w:tcBorders>
            <w:noWrap/>
            <w:vAlign w:val="bottom"/>
            <w:hideMark/>
          </w:tcPr>
          <w:p w14:paraId="7B7CB9E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w:t>
            </w:r>
          </w:p>
        </w:tc>
        <w:tc>
          <w:tcPr>
            <w:tcW w:w="960" w:type="dxa"/>
            <w:tcBorders>
              <w:top w:val="nil"/>
              <w:left w:val="nil"/>
              <w:bottom w:val="nil"/>
              <w:right w:val="nil"/>
            </w:tcBorders>
            <w:noWrap/>
            <w:vAlign w:val="bottom"/>
            <w:hideMark/>
          </w:tcPr>
          <w:p w14:paraId="7AF3CD7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50</w:t>
            </w:r>
          </w:p>
        </w:tc>
        <w:tc>
          <w:tcPr>
            <w:tcW w:w="960" w:type="dxa"/>
            <w:tcBorders>
              <w:top w:val="nil"/>
              <w:left w:val="nil"/>
              <w:bottom w:val="nil"/>
              <w:right w:val="nil"/>
            </w:tcBorders>
            <w:noWrap/>
            <w:vAlign w:val="bottom"/>
            <w:hideMark/>
          </w:tcPr>
          <w:p w14:paraId="761E619D"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52</w:t>
            </w:r>
          </w:p>
        </w:tc>
        <w:tc>
          <w:tcPr>
            <w:tcW w:w="960" w:type="dxa"/>
            <w:tcBorders>
              <w:top w:val="nil"/>
              <w:left w:val="nil"/>
              <w:bottom w:val="nil"/>
              <w:right w:val="single" w:sz="8" w:space="0" w:color="auto"/>
            </w:tcBorders>
            <w:noWrap/>
            <w:vAlign w:val="bottom"/>
            <w:hideMark/>
          </w:tcPr>
          <w:p w14:paraId="0693A8F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56</w:t>
            </w:r>
          </w:p>
        </w:tc>
        <w:tc>
          <w:tcPr>
            <w:tcW w:w="960" w:type="dxa"/>
            <w:tcBorders>
              <w:top w:val="nil"/>
              <w:left w:val="nil"/>
              <w:bottom w:val="nil"/>
              <w:right w:val="nil"/>
            </w:tcBorders>
            <w:noWrap/>
            <w:vAlign w:val="bottom"/>
            <w:hideMark/>
          </w:tcPr>
          <w:p w14:paraId="69C5D8F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54</w:t>
            </w:r>
          </w:p>
        </w:tc>
        <w:tc>
          <w:tcPr>
            <w:tcW w:w="960" w:type="dxa"/>
            <w:tcBorders>
              <w:top w:val="nil"/>
              <w:left w:val="nil"/>
              <w:bottom w:val="nil"/>
              <w:right w:val="nil"/>
            </w:tcBorders>
            <w:noWrap/>
            <w:vAlign w:val="bottom"/>
            <w:hideMark/>
          </w:tcPr>
          <w:p w14:paraId="6621F97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56</w:t>
            </w:r>
          </w:p>
        </w:tc>
        <w:tc>
          <w:tcPr>
            <w:tcW w:w="920" w:type="dxa"/>
            <w:tcBorders>
              <w:top w:val="nil"/>
              <w:left w:val="nil"/>
              <w:bottom w:val="nil"/>
              <w:right w:val="single" w:sz="8" w:space="0" w:color="auto"/>
            </w:tcBorders>
            <w:noWrap/>
            <w:vAlign w:val="bottom"/>
            <w:hideMark/>
          </w:tcPr>
          <w:p w14:paraId="406B18E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62</w:t>
            </w:r>
          </w:p>
        </w:tc>
      </w:tr>
      <w:tr w:rsidR="005D37E6" w:rsidRPr="005D37E6" w14:paraId="1F1CB53D" w14:textId="77777777" w:rsidTr="005D37E6">
        <w:trPr>
          <w:trHeight w:val="300"/>
        </w:trPr>
        <w:tc>
          <w:tcPr>
            <w:tcW w:w="960" w:type="dxa"/>
            <w:tcBorders>
              <w:top w:val="nil"/>
              <w:left w:val="single" w:sz="8" w:space="0" w:color="auto"/>
              <w:bottom w:val="nil"/>
              <w:right w:val="nil"/>
            </w:tcBorders>
            <w:noWrap/>
            <w:vAlign w:val="bottom"/>
            <w:hideMark/>
          </w:tcPr>
          <w:p w14:paraId="6BF522E6"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SBCF</w:t>
            </w:r>
          </w:p>
        </w:tc>
        <w:tc>
          <w:tcPr>
            <w:tcW w:w="960" w:type="dxa"/>
            <w:tcBorders>
              <w:top w:val="nil"/>
              <w:left w:val="nil"/>
              <w:bottom w:val="nil"/>
              <w:right w:val="single" w:sz="8" w:space="0" w:color="auto"/>
            </w:tcBorders>
            <w:noWrap/>
            <w:vAlign w:val="bottom"/>
            <w:hideMark/>
          </w:tcPr>
          <w:p w14:paraId="3648CCE3"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CNF</w:t>
            </w:r>
          </w:p>
        </w:tc>
        <w:tc>
          <w:tcPr>
            <w:tcW w:w="960" w:type="dxa"/>
            <w:tcBorders>
              <w:top w:val="nil"/>
              <w:left w:val="nil"/>
              <w:bottom w:val="nil"/>
              <w:right w:val="nil"/>
            </w:tcBorders>
            <w:noWrap/>
            <w:vAlign w:val="bottom"/>
            <w:hideMark/>
          </w:tcPr>
          <w:p w14:paraId="21E8F9B5"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w:t>
            </w:r>
          </w:p>
        </w:tc>
        <w:tc>
          <w:tcPr>
            <w:tcW w:w="960" w:type="dxa"/>
            <w:tcBorders>
              <w:top w:val="nil"/>
              <w:left w:val="nil"/>
              <w:bottom w:val="nil"/>
              <w:right w:val="nil"/>
            </w:tcBorders>
            <w:noWrap/>
            <w:vAlign w:val="bottom"/>
            <w:hideMark/>
          </w:tcPr>
          <w:p w14:paraId="01C0550C"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w:t>
            </w:r>
          </w:p>
        </w:tc>
        <w:tc>
          <w:tcPr>
            <w:tcW w:w="960" w:type="dxa"/>
            <w:tcBorders>
              <w:top w:val="nil"/>
              <w:left w:val="nil"/>
              <w:bottom w:val="nil"/>
              <w:right w:val="single" w:sz="8" w:space="0" w:color="auto"/>
            </w:tcBorders>
            <w:noWrap/>
            <w:vAlign w:val="bottom"/>
            <w:hideMark/>
          </w:tcPr>
          <w:p w14:paraId="4A8B5AF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w:t>
            </w:r>
          </w:p>
        </w:tc>
        <w:tc>
          <w:tcPr>
            <w:tcW w:w="960" w:type="dxa"/>
            <w:tcBorders>
              <w:top w:val="nil"/>
              <w:left w:val="nil"/>
              <w:bottom w:val="nil"/>
              <w:right w:val="nil"/>
            </w:tcBorders>
            <w:noWrap/>
            <w:vAlign w:val="bottom"/>
            <w:hideMark/>
          </w:tcPr>
          <w:p w14:paraId="5F2E8D8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51</w:t>
            </w:r>
          </w:p>
        </w:tc>
        <w:tc>
          <w:tcPr>
            <w:tcW w:w="960" w:type="dxa"/>
            <w:tcBorders>
              <w:top w:val="nil"/>
              <w:left w:val="nil"/>
              <w:bottom w:val="nil"/>
              <w:right w:val="nil"/>
            </w:tcBorders>
            <w:noWrap/>
            <w:vAlign w:val="bottom"/>
            <w:hideMark/>
          </w:tcPr>
          <w:p w14:paraId="17F7666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54</w:t>
            </w:r>
          </w:p>
        </w:tc>
        <w:tc>
          <w:tcPr>
            <w:tcW w:w="960" w:type="dxa"/>
            <w:tcBorders>
              <w:top w:val="nil"/>
              <w:left w:val="nil"/>
              <w:bottom w:val="nil"/>
              <w:right w:val="single" w:sz="8" w:space="0" w:color="auto"/>
            </w:tcBorders>
            <w:noWrap/>
            <w:vAlign w:val="bottom"/>
            <w:hideMark/>
          </w:tcPr>
          <w:p w14:paraId="0921584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58</w:t>
            </w:r>
          </w:p>
        </w:tc>
        <w:tc>
          <w:tcPr>
            <w:tcW w:w="960" w:type="dxa"/>
            <w:tcBorders>
              <w:top w:val="nil"/>
              <w:left w:val="nil"/>
              <w:bottom w:val="nil"/>
              <w:right w:val="nil"/>
            </w:tcBorders>
            <w:noWrap/>
            <w:vAlign w:val="bottom"/>
            <w:hideMark/>
          </w:tcPr>
          <w:p w14:paraId="5F43D50F"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62</w:t>
            </w:r>
          </w:p>
        </w:tc>
        <w:tc>
          <w:tcPr>
            <w:tcW w:w="960" w:type="dxa"/>
            <w:tcBorders>
              <w:top w:val="nil"/>
              <w:left w:val="nil"/>
              <w:bottom w:val="nil"/>
              <w:right w:val="nil"/>
            </w:tcBorders>
            <w:noWrap/>
            <w:vAlign w:val="bottom"/>
            <w:hideMark/>
          </w:tcPr>
          <w:p w14:paraId="48518EA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63</w:t>
            </w:r>
          </w:p>
        </w:tc>
        <w:tc>
          <w:tcPr>
            <w:tcW w:w="920" w:type="dxa"/>
            <w:tcBorders>
              <w:top w:val="nil"/>
              <w:left w:val="nil"/>
              <w:bottom w:val="nil"/>
              <w:right w:val="single" w:sz="8" w:space="0" w:color="auto"/>
            </w:tcBorders>
            <w:noWrap/>
            <w:vAlign w:val="bottom"/>
            <w:hideMark/>
          </w:tcPr>
          <w:p w14:paraId="7BDB176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70</w:t>
            </w:r>
          </w:p>
        </w:tc>
      </w:tr>
      <w:tr w:rsidR="005D37E6" w:rsidRPr="005D37E6" w14:paraId="023B1BA8" w14:textId="77777777" w:rsidTr="005D37E6">
        <w:trPr>
          <w:trHeight w:val="300"/>
        </w:trPr>
        <w:tc>
          <w:tcPr>
            <w:tcW w:w="960" w:type="dxa"/>
            <w:tcBorders>
              <w:top w:val="nil"/>
              <w:left w:val="single" w:sz="8" w:space="0" w:color="auto"/>
              <w:bottom w:val="nil"/>
              <w:right w:val="nil"/>
            </w:tcBorders>
            <w:noWrap/>
            <w:vAlign w:val="bottom"/>
            <w:hideMark/>
          </w:tcPr>
          <w:p w14:paraId="2B61A646"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SBRF</w:t>
            </w:r>
          </w:p>
        </w:tc>
        <w:tc>
          <w:tcPr>
            <w:tcW w:w="960" w:type="dxa"/>
            <w:tcBorders>
              <w:top w:val="nil"/>
              <w:left w:val="nil"/>
              <w:bottom w:val="nil"/>
              <w:right w:val="single" w:sz="8" w:space="0" w:color="auto"/>
            </w:tcBorders>
            <w:noWrap/>
            <w:vAlign w:val="bottom"/>
            <w:hideMark/>
          </w:tcPr>
          <w:p w14:paraId="5C349F59"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REC</w:t>
            </w:r>
          </w:p>
        </w:tc>
        <w:tc>
          <w:tcPr>
            <w:tcW w:w="960" w:type="dxa"/>
            <w:tcBorders>
              <w:top w:val="nil"/>
              <w:left w:val="nil"/>
              <w:bottom w:val="nil"/>
              <w:right w:val="nil"/>
            </w:tcBorders>
            <w:noWrap/>
            <w:vAlign w:val="bottom"/>
            <w:hideMark/>
          </w:tcPr>
          <w:p w14:paraId="69D203F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11</w:t>
            </w:r>
          </w:p>
        </w:tc>
        <w:tc>
          <w:tcPr>
            <w:tcW w:w="960" w:type="dxa"/>
            <w:tcBorders>
              <w:top w:val="nil"/>
              <w:left w:val="nil"/>
              <w:bottom w:val="nil"/>
              <w:right w:val="nil"/>
            </w:tcBorders>
            <w:noWrap/>
            <w:vAlign w:val="bottom"/>
            <w:hideMark/>
          </w:tcPr>
          <w:p w14:paraId="38EE93B0"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11</w:t>
            </w:r>
          </w:p>
        </w:tc>
        <w:tc>
          <w:tcPr>
            <w:tcW w:w="960" w:type="dxa"/>
            <w:tcBorders>
              <w:top w:val="nil"/>
              <w:left w:val="nil"/>
              <w:bottom w:val="nil"/>
              <w:right w:val="single" w:sz="8" w:space="0" w:color="auto"/>
            </w:tcBorders>
            <w:noWrap/>
            <w:vAlign w:val="bottom"/>
            <w:hideMark/>
          </w:tcPr>
          <w:p w14:paraId="33A49DEE"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w:t>
            </w:r>
          </w:p>
        </w:tc>
        <w:tc>
          <w:tcPr>
            <w:tcW w:w="960" w:type="dxa"/>
            <w:tcBorders>
              <w:top w:val="nil"/>
              <w:left w:val="nil"/>
              <w:bottom w:val="nil"/>
              <w:right w:val="nil"/>
            </w:tcBorders>
            <w:noWrap/>
            <w:vAlign w:val="bottom"/>
            <w:hideMark/>
          </w:tcPr>
          <w:p w14:paraId="4D4B88E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51</w:t>
            </w:r>
          </w:p>
        </w:tc>
        <w:tc>
          <w:tcPr>
            <w:tcW w:w="960" w:type="dxa"/>
            <w:tcBorders>
              <w:top w:val="nil"/>
              <w:left w:val="nil"/>
              <w:bottom w:val="nil"/>
              <w:right w:val="nil"/>
            </w:tcBorders>
            <w:noWrap/>
            <w:vAlign w:val="bottom"/>
            <w:hideMark/>
          </w:tcPr>
          <w:p w14:paraId="65CEFC46"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54</w:t>
            </w:r>
          </w:p>
        </w:tc>
        <w:tc>
          <w:tcPr>
            <w:tcW w:w="960" w:type="dxa"/>
            <w:tcBorders>
              <w:top w:val="nil"/>
              <w:left w:val="nil"/>
              <w:bottom w:val="nil"/>
              <w:right w:val="single" w:sz="8" w:space="0" w:color="auto"/>
            </w:tcBorders>
            <w:noWrap/>
            <w:vAlign w:val="bottom"/>
            <w:hideMark/>
          </w:tcPr>
          <w:p w14:paraId="50B0EFC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54</w:t>
            </w:r>
          </w:p>
        </w:tc>
        <w:tc>
          <w:tcPr>
            <w:tcW w:w="960" w:type="dxa"/>
            <w:tcBorders>
              <w:top w:val="nil"/>
              <w:left w:val="nil"/>
              <w:bottom w:val="nil"/>
              <w:right w:val="nil"/>
            </w:tcBorders>
            <w:noWrap/>
            <w:vAlign w:val="bottom"/>
            <w:hideMark/>
          </w:tcPr>
          <w:p w14:paraId="2EEBAA24"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66</w:t>
            </w:r>
          </w:p>
        </w:tc>
        <w:tc>
          <w:tcPr>
            <w:tcW w:w="960" w:type="dxa"/>
            <w:tcBorders>
              <w:top w:val="nil"/>
              <w:left w:val="nil"/>
              <w:bottom w:val="nil"/>
              <w:right w:val="nil"/>
            </w:tcBorders>
            <w:noWrap/>
            <w:vAlign w:val="bottom"/>
            <w:hideMark/>
          </w:tcPr>
          <w:p w14:paraId="21EB02C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72</w:t>
            </w:r>
          </w:p>
        </w:tc>
        <w:tc>
          <w:tcPr>
            <w:tcW w:w="920" w:type="dxa"/>
            <w:tcBorders>
              <w:top w:val="nil"/>
              <w:left w:val="nil"/>
              <w:bottom w:val="nil"/>
              <w:right w:val="single" w:sz="8" w:space="0" w:color="auto"/>
            </w:tcBorders>
            <w:noWrap/>
            <w:vAlign w:val="bottom"/>
            <w:hideMark/>
          </w:tcPr>
          <w:p w14:paraId="4FD6E5CF"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70</w:t>
            </w:r>
          </w:p>
        </w:tc>
      </w:tr>
      <w:tr w:rsidR="005D37E6" w:rsidRPr="005D37E6" w14:paraId="5BC5E592" w14:textId="77777777" w:rsidTr="005D37E6">
        <w:trPr>
          <w:trHeight w:val="300"/>
        </w:trPr>
        <w:tc>
          <w:tcPr>
            <w:tcW w:w="960" w:type="dxa"/>
            <w:tcBorders>
              <w:top w:val="nil"/>
              <w:left w:val="single" w:sz="8" w:space="0" w:color="auto"/>
              <w:bottom w:val="nil"/>
              <w:right w:val="nil"/>
            </w:tcBorders>
            <w:noWrap/>
            <w:vAlign w:val="bottom"/>
            <w:hideMark/>
          </w:tcPr>
          <w:p w14:paraId="30A0AD43"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SBFL</w:t>
            </w:r>
          </w:p>
        </w:tc>
        <w:tc>
          <w:tcPr>
            <w:tcW w:w="960" w:type="dxa"/>
            <w:tcBorders>
              <w:top w:val="nil"/>
              <w:left w:val="nil"/>
              <w:bottom w:val="nil"/>
              <w:right w:val="single" w:sz="8" w:space="0" w:color="auto"/>
            </w:tcBorders>
            <w:noWrap/>
            <w:vAlign w:val="bottom"/>
            <w:hideMark/>
          </w:tcPr>
          <w:p w14:paraId="1F23A3C8"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FLN</w:t>
            </w:r>
          </w:p>
        </w:tc>
        <w:tc>
          <w:tcPr>
            <w:tcW w:w="960" w:type="dxa"/>
            <w:tcBorders>
              <w:top w:val="nil"/>
              <w:left w:val="nil"/>
              <w:bottom w:val="nil"/>
              <w:right w:val="nil"/>
            </w:tcBorders>
            <w:noWrap/>
            <w:vAlign w:val="bottom"/>
            <w:hideMark/>
          </w:tcPr>
          <w:p w14:paraId="354F023A"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w:t>
            </w:r>
          </w:p>
        </w:tc>
        <w:tc>
          <w:tcPr>
            <w:tcW w:w="960" w:type="dxa"/>
            <w:tcBorders>
              <w:top w:val="nil"/>
              <w:left w:val="nil"/>
              <w:bottom w:val="nil"/>
              <w:right w:val="nil"/>
            </w:tcBorders>
            <w:noWrap/>
            <w:vAlign w:val="bottom"/>
            <w:hideMark/>
          </w:tcPr>
          <w:p w14:paraId="33154B5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9</w:t>
            </w:r>
          </w:p>
        </w:tc>
        <w:tc>
          <w:tcPr>
            <w:tcW w:w="960" w:type="dxa"/>
            <w:tcBorders>
              <w:top w:val="nil"/>
              <w:left w:val="nil"/>
              <w:bottom w:val="nil"/>
              <w:right w:val="single" w:sz="8" w:space="0" w:color="auto"/>
            </w:tcBorders>
            <w:noWrap/>
            <w:vAlign w:val="bottom"/>
            <w:hideMark/>
          </w:tcPr>
          <w:p w14:paraId="52F8A532"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9</w:t>
            </w:r>
          </w:p>
        </w:tc>
        <w:tc>
          <w:tcPr>
            <w:tcW w:w="960" w:type="dxa"/>
            <w:tcBorders>
              <w:top w:val="nil"/>
              <w:left w:val="nil"/>
              <w:bottom w:val="nil"/>
              <w:right w:val="nil"/>
            </w:tcBorders>
            <w:noWrap/>
            <w:vAlign w:val="bottom"/>
            <w:hideMark/>
          </w:tcPr>
          <w:p w14:paraId="27E63F6A"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48</w:t>
            </w:r>
          </w:p>
        </w:tc>
        <w:tc>
          <w:tcPr>
            <w:tcW w:w="960" w:type="dxa"/>
            <w:tcBorders>
              <w:top w:val="nil"/>
              <w:left w:val="nil"/>
              <w:bottom w:val="nil"/>
              <w:right w:val="nil"/>
            </w:tcBorders>
            <w:noWrap/>
            <w:vAlign w:val="bottom"/>
            <w:hideMark/>
          </w:tcPr>
          <w:p w14:paraId="471B8D97"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49</w:t>
            </w:r>
          </w:p>
        </w:tc>
        <w:tc>
          <w:tcPr>
            <w:tcW w:w="960" w:type="dxa"/>
            <w:tcBorders>
              <w:top w:val="nil"/>
              <w:left w:val="nil"/>
              <w:bottom w:val="nil"/>
              <w:right w:val="single" w:sz="8" w:space="0" w:color="auto"/>
            </w:tcBorders>
            <w:noWrap/>
            <w:vAlign w:val="bottom"/>
            <w:hideMark/>
          </w:tcPr>
          <w:p w14:paraId="0713A9A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49</w:t>
            </w:r>
          </w:p>
        </w:tc>
        <w:tc>
          <w:tcPr>
            <w:tcW w:w="960" w:type="dxa"/>
            <w:tcBorders>
              <w:top w:val="nil"/>
              <w:left w:val="nil"/>
              <w:bottom w:val="nil"/>
              <w:right w:val="nil"/>
            </w:tcBorders>
            <w:noWrap/>
            <w:vAlign w:val="bottom"/>
            <w:hideMark/>
          </w:tcPr>
          <w:p w14:paraId="186056A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55</w:t>
            </w:r>
          </w:p>
        </w:tc>
        <w:tc>
          <w:tcPr>
            <w:tcW w:w="960" w:type="dxa"/>
            <w:tcBorders>
              <w:top w:val="nil"/>
              <w:left w:val="nil"/>
              <w:bottom w:val="nil"/>
              <w:right w:val="nil"/>
            </w:tcBorders>
            <w:noWrap/>
            <w:vAlign w:val="bottom"/>
            <w:hideMark/>
          </w:tcPr>
          <w:p w14:paraId="42E9A04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55</w:t>
            </w:r>
          </w:p>
        </w:tc>
        <w:tc>
          <w:tcPr>
            <w:tcW w:w="920" w:type="dxa"/>
            <w:tcBorders>
              <w:top w:val="nil"/>
              <w:left w:val="nil"/>
              <w:bottom w:val="nil"/>
              <w:right w:val="single" w:sz="8" w:space="0" w:color="auto"/>
            </w:tcBorders>
            <w:noWrap/>
            <w:vAlign w:val="bottom"/>
            <w:hideMark/>
          </w:tcPr>
          <w:p w14:paraId="17B6D2E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56</w:t>
            </w:r>
          </w:p>
        </w:tc>
      </w:tr>
      <w:tr w:rsidR="005D37E6" w:rsidRPr="005D37E6" w14:paraId="5ABE369C" w14:textId="77777777" w:rsidTr="005D37E6">
        <w:trPr>
          <w:trHeight w:val="315"/>
        </w:trPr>
        <w:tc>
          <w:tcPr>
            <w:tcW w:w="960" w:type="dxa"/>
            <w:tcBorders>
              <w:top w:val="nil"/>
              <w:left w:val="single" w:sz="8" w:space="0" w:color="auto"/>
              <w:bottom w:val="single" w:sz="8" w:space="0" w:color="auto"/>
              <w:right w:val="nil"/>
            </w:tcBorders>
            <w:noWrap/>
            <w:vAlign w:val="bottom"/>
            <w:hideMark/>
          </w:tcPr>
          <w:p w14:paraId="52050354"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SBPA</w:t>
            </w:r>
          </w:p>
        </w:tc>
        <w:tc>
          <w:tcPr>
            <w:tcW w:w="960" w:type="dxa"/>
            <w:tcBorders>
              <w:top w:val="nil"/>
              <w:left w:val="nil"/>
              <w:bottom w:val="single" w:sz="8" w:space="0" w:color="auto"/>
              <w:right w:val="single" w:sz="8" w:space="0" w:color="auto"/>
            </w:tcBorders>
            <w:noWrap/>
            <w:vAlign w:val="bottom"/>
            <w:hideMark/>
          </w:tcPr>
          <w:p w14:paraId="255D9FEF" w14:textId="77777777" w:rsidR="005D37E6" w:rsidRPr="005D37E6" w:rsidRDefault="005D37E6" w:rsidP="005D37E6">
            <w:pPr>
              <w:spacing w:after="0" w:line="240" w:lineRule="auto"/>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POA</w:t>
            </w:r>
          </w:p>
        </w:tc>
        <w:tc>
          <w:tcPr>
            <w:tcW w:w="960" w:type="dxa"/>
            <w:tcBorders>
              <w:top w:val="nil"/>
              <w:left w:val="nil"/>
              <w:bottom w:val="single" w:sz="8" w:space="0" w:color="auto"/>
              <w:right w:val="nil"/>
            </w:tcBorders>
            <w:noWrap/>
            <w:vAlign w:val="bottom"/>
            <w:hideMark/>
          </w:tcPr>
          <w:p w14:paraId="13CD555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15</w:t>
            </w:r>
          </w:p>
        </w:tc>
        <w:tc>
          <w:tcPr>
            <w:tcW w:w="960" w:type="dxa"/>
            <w:tcBorders>
              <w:top w:val="nil"/>
              <w:left w:val="nil"/>
              <w:bottom w:val="single" w:sz="8" w:space="0" w:color="auto"/>
              <w:right w:val="nil"/>
            </w:tcBorders>
            <w:noWrap/>
            <w:vAlign w:val="bottom"/>
            <w:hideMark/>
          </w:tcPr>
          <w:p w14:paraId="474EAE76"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8</w:t>
            </w:r>
          </w:p>
        </w:tc>
        <w:tc>
          <w:tcPr>
            <w:tcW w:w="960" w:type="dxa"/>
            <w:tcBorders>
              <w:top w:val="nil"/>
              <w:left w:val="nil"/>
              <w:bottom w:val="single" w:sz="8" w:space="0" w:color="auto"/>
              <w:right w:val="single" w:sz="8" w:space="0" w:color="auto"/>
            </w:tcBorders>
            <w:noWrap/>
            <w:vAlign w:val="bottom"/>
            <w:hideMark/>
          </w:tcPr>
          <w:p w14:paraId="3087BAE3"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10</w:t>
            </w:r>
          </w:p>
        </w:tc>
        <w:tc>
          <w:tcPr>
            <w:tcW w:w="960" w:type="dxa"/>
            <w:tcBorders>
              <w:top w:val="nil"/>
              <w:left w:val="nil"/>
              <w:bottom w:val="single" w:sz="8" w:space="0" w:color="auto"/>
              <w:right w:val="nil"/>
            </w:tcBorders>
            <w:noWrap/>
            <w:vAlign w:val="bottom"/>
            <w:hideMark/>
          </w:tcPr>
          <w:p w14:paraId="62195E05"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49</w:t>
            </w:r>
          </w:p>
        </w:tc>
        <w:tc>
          <w:tcPr>
            <w:tcW w:w="960" w:type="dxa"/>
            <w:tcBorders>
              <w:top w:val="nil"/>
              <w:left w:val="nil"/>
              <w:bottom w:val="single" w:sz="8" w:space="0" w:color="auto"/>
              <w:right w:val="nil"/>
            </w:tcBorders>
            <w:noWrap/>
            <w:vAlign w:val="bottom"/>
            <w:hideMark/>
          </w:tcPr>
          <w:p w14:paraId="0238D191"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49</w:t>
            </w:r>
          </w:p>
        </w:tc>
        <w:tc>
          <w:tcPr>
            <w:tcW w:w="960" w:type="dxa"/>
            <w:tcBorders>
              <w:top w:val="nil"/>
              <w:left w:val="nil"/>
              <w:bottom w:val="single" w:sz="8" w:space="0" w:color="auto"/>
              <w:right w:val="single" w:sz="8" w:space="0" w:color="auto"/>
            </w:tcBorders>
            <w:noWrap/>
            <w:vAlign w:val="bottom"/>
            <w:hideMark/>
          </w:tcPr>
          <w:p w14:paraId="58CC62CB"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52</w:t>
            </w:r>
          </w:p>
        </w:tc>
        <w:tc>
          <w:tcPr>
            <w:tcW w:w="960" w:type="dxa"/>
            <w:tcBorders>
              <w:top w:val="nil"/>
              <w:left w:val="nil"/>
              <w:bottom w:val="single" w:sz="8" w:space="0" w:color="auto"/>
              <w:right w:val="nil"/>
            </w:tcBorders>
            <w:noWrap/>
            <w:vAlign w:val="bottom"/>
            <w:hideMark/>
          </w:tcPr>
          <w:p w14:paraId="33F6EBA7"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56</w:t>
            </w:r>
          </w:p>
        </w:tc>
        <w:tc>
          <w:tcPr>
            <w:tcW w:w="960" w:type="dxa"/>
            <w:tcBorders>
              <w:top w:val="nil"/>
              <w:left w:val="nil"/>
              <w:bottom w:val="single" w:sz="8" w:space="0" w:color="auto"/>
              <w:right w:val="nil"/>
            </w:tcBorders>
            <w:noWrap/>
            <w:vAlign w:val="bottom"/>
            <w:hideMark/>
          </w:tcPr>
          <w:p w14:paraId="22BB3159"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55</w:t>
            </w:r>
          </w:p>
        </w:tc>
        <w:tc>
          <w:tcPr>
            <w:tcW w:w="920" w:type="dxa"/>
            <w:tcBorders>
              <w:top w:val="nil"/>
              <w:left w:val="nil"/>
              <w:bottom w:val="single" w:sz="8" w:space="0" w:color="auto"/>
              <w:right w:val="single" w:sz="8" w:space="0" w:color="auto"/>
            </w:tcBorders>
            <w:noWrap/>
            <w:vAlign w:val="bottom"/>
            <w:hideMark/>
          </w:tcPr>
          <w:p w14:paraId="0260E858" w14:textId="77777777" w:rsidR="005D37E6" w:rsidRPr="005D37E6" w:rsidRDefault="005D37E6" w:rsidP="005D37E6">
            <w:pPr>
              <w:spacing w:after="0" w:line="240" w:lineRule="auto"/>
              <w:jc w:val="right"/>
              <w:rPr>
                <w:rFonts w:ascii="Aptos Narrow" w:eastAsia="Times New Roman" w:hAnsi="Aptos Narrow" w:cs="Times New Roman"/>
                <w:color w:val="000000"/>
                <w:kern w:val="0"/>
                <w:sz w:val="22"/>
                <w:szCs w:val="22"/>
                <w:lang w:eastAsia="pt-BR"/>
                <w14:ligatures w14:val="none"/>
              </w:rPr>
            </w:pPr>
            <w:r w:rsidRPr="005D37E6">
              <w:rPr>
                <w:rFonts w:ascii="Aptos Narrow" w:eastAsia="Times New Roman" w:hAnsi="Aptos Narrow" w:cs="Times New Roman"/>
                <w:color w:val="000000"/>
                <w:kern w:val="0"/>
                <w:sz w:val="22"/>
                <w:szCs w:val="22"/>
                <w:lang w:eastAsia="pt-BR"/>
                <w14:ligatures w14:val="none"/>
              </w:rPr>
              <w:t>61</w:t>
            </w:r>
          </w:p>
        </w:tc>
      </w:tr>
    </w:tbl>
    <w:p w14:paraId="6C4CAEA8" w14:textId="77777777" w:rsidR="00A57AD8" w:rsidRDefault="00A57AD8">
      <w:pPr>
        <w:rPr>
          <w:sz w:val="22"/>
          <w:szCs w:val="22"/>
        </w:rPr>
      </w:pPr>
    </w:p>
    <w:p w14:paraId="147E7DE6" w14:textId="6277E430" w:rsidR="00A57AD8" w:rsidRDefault="00827FD7">
      <w:pPr>
        <w:rPr>
          <w:sz w:val="22"/>
          <w:szCs w:val="22"/>
        </w:rPr>
      </w:pPr>
      <w:r>
        <w:rPr>
          <w:sz w:val="22"/>
          <w:szCs w:val="22"/>
        </w:rPr>
        <w:t>N</w:t>
      </w:r>
      <w:r w:rsidR="005D37E6">
        <w:rPr>
          <w:sz w:val="22"/>
          <w:szCs w:val="22"/>
        </w:rPr>
        <w:t xml:space="preserve">ão existe um padrão de crescimento ou descrimento nos valores dos 3 últimos anos </w:t>
      </w:r>
      <w:r w:rsidR="002D26F0">
        <w:rPr>
          <w:sz w:val="22"/>
          <w:szCs w:val="22"/>
        </w:rPr>
        <w:t>, isso é corroborado</w:t>
      </w:r>
      <w:r>
        <w:rPr>
          <w:sz w:val="22"/>
          <w:szCs w:val="22"/>
        </w:rPr>
        <w:t xml:space="preserve"> tanto </w:t>
      </w:r>
      <w:r w:rsidR="002D26F0">
        <w:rPr>
          <w:sz w:val="22"/>
          <w:szCs w:val="22"/>
        </w:rPr>
        <w:t xml:space="preserve">obervando </w:t>
      </w:r>
      <w:r>
        <w:rPr>
          <w:sz w:val="22"/>
          <w:szCs w:val="22"/>
        </w:rPr>
        <w:t>a tabela</w:t>
      </w:r>
      <w:r w:rsidR="002D26F0">
        <w:rPr>
          <w:sz w:val="22"/>
          <w:szCs w:val="22"/>
        </w:rPr>
        <w:t xml:space="preserve"> 3</w:t>
      </w:r>
      <w:r>
        <w:rPr>
          <w:sz w:val="22"/>
          <w:szCs w:val="22"/>
        </w:rPr>
        <w:t xml:space="preserve"> quanto o gráfico</w:t>
      </w:r>
      <w:r w:rsidR="002D26F0">
        <w:rPr>
          <w:sz w:val="22"/>
          <w:szCs w:val="22"/>
        </w:rPr>
        <w:t xml:space="preserve"> da figura 13. Entretanto , de 2025 para 2026 houve um aumento dos tempos médios para os Top 7 hubs da Gol.</w:t>
      </w:r>
    </w:p>
    <w:p w14:paraId="7FE7DD27" w14:textId="04EC1758" w:rsidR="0078149E" w:rsidRDefault="00A71AFE">
      <w:pPr>
        <w:rPr>
          <w:sz w:val="22"/>
          <w:szCs w:val="22"/>
        </w:rPr>
      </w:pPr>
      <w:r>
        <w:rPr>
          <w:noProof/>
          <w:sz w:val="22"/>
          <w:szCs w:val="22"/>
        </w:rPr>
        <w:drawing>
          <wp:inline distT="0" distB="0" distL="0" distR="0" wp14:anchorId="65210041" wp14:editId="576AEE7B">
            <wp:extent cx="6645910" cy="2869565"/>
            <wp:effectExtent l="0" t="0" r="2540" b="6985"/>
            <wp:docPr id="17460299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9936" name="Picture 1746029936"/>
                    <pic:cNvPicPr/>
                  </pic:nvPicPr>
                  <pic:blipFill>
                    <a:blip r:embed="rId21">
                      <a:extLst>
                        <a:ext uri="{28A0092B-C50C-407E-A947-70E740481C1C}">
                          <a14:useLocalDpi xmlns:a14="http://schemas.microsoft.com/office/drawing/2010/main" val="0"/>
                        </a:ext>
                      </a:extLst>
                    </a:blip>
                    <a:stretch>
                      <a:fillRect/>
                    </a:stretch>
                  </pic:blipFill>
                  <pic:spPr>
                    <a:xfrm>
                      <a:off x="0" y="0"/>
                      <a:ext cx="6645910" cy="2869565"/>
                    </a:xfrm>
                    <a:prstGeom prst="rect">
                      <a:avLst/>
                    </a:prstGeom>
                  </pic:spPr>
                </pic:pic>
              </a:graphicData>
            </a:graphic>
          </wp:inline>
        </w:drawing>
      </w:r>
    </w:p>
    <w:p w14:paraId="5216B48C" w14:textId="166EEA09" w:rsidR="002D26F0" w:rsidRPr="007C1D39" w:rsidRDefault="002D26F0">
      <w:pPr>
        <w:rPr>
          <w:sz w:val="18"/>
          <w:szCs w:val="18"/>
        </w:rPr>
      </w:pPr>
      <w:r w:rsidRPr="00FC332C">
        <w:rPr>
          <w:i/>
          <w:iCs/>
          <w:noProof/>
          <w:sz w:val="18"/>
          <w:szCs w:val="18"/>
        </w:rPr>
        <w:t xml:space="preserve">Fig </w:t>
      </w:r>
      <w:r>
        <w:rPr>
          <w:i/>
          <w:iCs/>
          <w:noProof/>
          <w:sz w:val="18"/>
          <w:szCs w:val="18"/>
        </w:rPr>
        <w:t>13</w:t>
      </w:r>
      <w:r w:rsidRPr="00FC332C">
        <w:rPr>
          <w:i/>
          <w:iCs/>
          <w:noProof/>
          <w:sz w:val="18"/>
          <w:szCs w:val="18"/>
        </w:rPr>
        <w:t xml:space="preserve">: O valor médio de </w:t>
      </w:r>
      <w:r w:rsidR="00866A99">
        <w:rPr>
          <w:i/>
          <w:iCs/>
          <w:noProof/>
          <w:sz w:val="18"/>
          <w:szCs w:val="18"/>
        </w:rPr>
        <w:t xml:space="preserve">tempo de solo para o 10 maiores Hubs em número de chegadas com dados de </w:t>
      </w:r>
      <w:r w:rsidRPr="00FC332C">
        <w:rPr>
          <w:i/>
          <w:iCs/>
          <w:noProof/>
          <w:sz w:val="18"/>
          <w:szCs w:val="18"/>
        </w:rPr>
        <w:t xml:space="preserve"> 2021</w:t>
      </w:r>
      <w:r w:rsidR="00866A99">
        <w:rPr>
          <w:i/>
          <w:iCs/>
          <w:noProof/>
          <w:sz w:val="18"/>
          <w:szCs w:val="18"/>
        </w:rPr>
        <w:t xml:space="preserve"> até 2026.</w:t>
      </w:r>
    </w:p>
    <w:p w14:paraId="079EE06B" w14:textId="1D966AC5" w:rsidR="002D26F0" w:rsidRDefault="002D26F0">
      <w:pPr>
        <w:rPr>
          <w:sz w:val="22"/>
          <w:szCs w:val="22"/>
        </w:rPr>
      </w:pPr>
      <w:r>
        <w:rPr>
          <w:sz w:val="22"/>
          <w:szCs w:val="22"/>
        </w:rPr>
        <w:t>Síntese</w:t>
      </w:r>
    </w:p>
    <w:p w14:paraId="5CD28050" w14:textId="0480CB5F" w:rsidR="007C1D39" w:rsidRPr="007C1D39" w:rsidRDefault="007C1D39" w:rsidP="007C1D39">
      <w:pPr>
        <w:rPr>
          <w:sz w:val="22"/>
          <w:szCs w:val="22"/>
        </w:rPr>
      </w:pPr>
      <w:r w:rsidRPr="007C1D39">
        <w:rPr>
          <w:sz w:val="22"/>
          <w:szCs w:val="22"/>
        </w:rPr>
        <w:t>Observando os indicadores de destinos, características e distribuição da frota, tempos de solo e diferenças entre hubs e off-hubs, além dos cruzamentos entre esses indicadores, percebe-se um modelo de gestão orientado à homogeneidade e à reprodutibilidade dos processos.</w:t>
      </w:r>
    </w:p>
    <w:p w14:paraId="6C275471" w14:textId="5C069BBB" w:rsidR="007C1D39" w:rsidRPr="007C1D39" w:rsidRDefault="007C1D39" w:rsidP="007C1D39">
      <w:pPr>
        <w:rPr>
          <w:sz w:val="22"/>
          <w:szCs w:val="22"/>
        </w:rPr>
      </w:pPr>
      <w:r w:rsidRPr="007C1D39">
        <w:rPr>
          <w:sz w:val="22"/>
          <w:szCs w:val="22"/>
        </w:rPr>
        <w:t>Isso pode ser observado na uniformização da amplitude de variação dos destinos, na reprodutibilidade dos períodos dos ciclos de destinos, no equilíbrio gradativo da distribuição da frota entre os modelos 737-800 e 737 MAX 8, e na homogeneidade das medianas dos tempos de solo entre os três modelos analisados.</w:t>
      </w:r>
    </w:p>
    <w:p w14:paraId="7AF36469" w14:textId="3BDF670A" w:rsidR="00CB7A82" w:rsidRPr="0078149E" w:rsidRDefault="007C1D39" w:rsidP="007C1D39">
      <w:pPr>
        <w:rPr>
          <w:sz w:val="22"/>
          <w:szCs w:val="22"/>
        </w:rPr>
      </w:pPr>
      <w:r w:rsidRPr="007C1D39">
        <w:rPr>
          <w:sz w:val="22"/>
          <w:szCs w:val="22"/>
        </w:rPr>
        <w:t>As maiores diferenciações ocorreram nos tempos de solo dos dez principais hubs, provavelmente em decorrência dos desafios operacionais específicos de cada base. Ainda assim, os quatro principais hubs apresentam valores bastante coerentes entre si, enquanto os demais hubs, com menor volume de voos, parecem compartilhar outra faixa de valores igualmente consistente.</w:t>
      </w:r>
    </w:p>
    <w:sectPr w:rsidR="00CB7A82" w:rsidRPr="0078149E" w:rsidSect="00674AE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1A9"/>
    <w:multiLevelType w:val="hybridMultilevel"/>
    <w:tmpl w:val="6D04D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089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ED"/>
    <w:rsid w:val="00003076"/>
    <w:rsid w:val="00076418"/>
    <w:rsid w:val="000A21F3"/>
    <w:rsid w:val="001029E7"/>
    <w:rsid w:val="0019582C"/>
    <w:rsid w:val="001A060A"/>
    <w:rsid w:val="001D61AB"/>
    <w:rsid w:val="00224A76"/>
    <w:rsid w:val="00286EDE"/>
    <w:rsid w:val="002D26F0"/>
    <w:rsid w:val="002F279F"/>
    <w:rsid w:val="002F3313"/>
    <w:rsid w:val="003A1E3E"/>
    <w:rsid w:val="0043475D"/>
    <w:rsid w:val="00510147"/>
    <w:rsid w:val="00530D9F"/>
    <w:rsid w:val="005D37E6"/>
    <w:rsid w:val="005E554A"/>
    <w:rsid w:val="00620522"/>
    <w:rsid w:val="00674AEF"/>
    <w:rsid w:val="006F36FD"/>
    <w:rsid w:val="0078149E"/>
    <w:rsid w:val="007B27CF"/>
    <w:rsid w:val="007C1D39"/>
    <w:rsid w:val="00827FD7"/>
    <w:rsid w:val="00851A8C"/>
    <w:rsid w:val="00866A99"/>
    <w:rsid w:val="008767C0"/>
    <w:rsid w:val="008A5ECB"/>
    <w:rsid w:val="008C0AED"/>
    <w:rsid w:val="00931BCD"/>
    <w:rsid w:val="009416F2"/>
    <w:rsid w:val="00960758"/>
    <w:rsid w:val="00963EE5"/>
    <w:rsid w:val="00A57AD8"/>
    <w:rsid w:val="00A71AFE"/>
    <w:rsid w:val="00AF2563"/>
    <w:rsid w:val="00B128A9"/>
    <w:rsid w:val="00B82781"/>
    <w:rsid w:val="00BE4350"/>
    <w:rsid w:val="00C06EB4"/>
    <w:rsid w:val="00CB7A82"/>
    <w:rsid w:val="00EA3640"/>
    <w:rsid w:val="00FB56E4"/>
    <w:rsid w:val="00FC33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8C3D"/>
  <w15:chartTrackingRefBased/>
  <w15:docId w15:val="{742EB61F-62B8-492E-B311-95CFFC55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AED"/>
    <w:rPr>
      <w:rFonts w:eastAsiaTheme="majorEastAsia" w:cstheme="majorBidi"/>
      <w:color w:val="272727" w:themeColor="text1" w:themeTint="D8"/>
    </w:rPr>
  </w:style>
  <w:style w:type="paragraph" w:styleId="Title">
    <w:name w:val="Title"/>
    <w:basedOn w:val="Normal"/>
    <w:next w:val="Normal"/>
    <w:link w:val="TitleChar"/>
    <w:uiPriority w:val="10"/>
    <w:qFormat/>
    <w:rsid w:val="008C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ED"/>
    <w:pPr>
      <w:spacing w:before="160"/>
      <w:jc w:val="center"/>
    </w:pPr>
    <w:rPr>
      <w:i/>
      <w:iCs/>
      <w:color w:val="404040" w:themeColor="text1" w:themeTint="BF"/>
    </w:rPr>
  </w:style>
  <w:style w:type="character" w:customStyle="1" w:styleId="QuoteChar">
    <w:name w:val="Quote Char"/>
    <w:basedOn w:val="DefaultParagraphFont"/>
    <w:link w:val="Quote"/>
    <w:uiPriority w:val="29"/>
    <w:rsid w:val="008C0AED"/>
    <w:rPr>
      <w:i/>
      <w:iCs/>
      <w:color w:val="404040" w:themeColor="text1" w:themeTint="BF"/>
    </w:rPr>
  </w:style>
  <w:style w:type="paragraph" w:styleId="ListParagraph">
    <w:name w:val="List Paragraph"/>
    <w:basedOn w:val="Normal"/>
    <w:uiPriority w:val="34"/>
    <w:qFormat/>
    <w:rsid w:val="008C0AED"/>
    <w:pPr>
      <w:ind w:left="720"/>
      <w:contextualSpacing/>
    </w:pPr>
  </w:style>
  <w:style w:type="character" w:styleId="IntenseEmphasis">
    <w:name w:val="Intense Emphasis"/>
    <w:basedOn w:val="DefaultParagraphFont"/>
    <w:uiPriority w:val="21"/>
    <w:qFormat/>
    <w:rsid w:val="008C0AED"/>
    <w:rPr>
      <w:i/>
      <w:iCs/>
      <w:color w:val="0F4761" w:themeColor="accent1" w:themeShade="BF"/>
    </w:rPr>
  </w:style>
  <w:style w:type="paragraph" w:styleId="IntenseQuote">
    <w:name w:val="Intense Quote"/>
    <w:basedOn w:val="Normal"/>
    <w:next w:val="Normal"/>
    <w:link w:val="IntenseQuoteChar"/>
    <w:uiPriority w:val="30"/>
    <w:qFormat/>
    <w:rsid w:val="008C0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AED"/>
    <w:rPr>
      <w:i/>
      <w:iCs/>
      <w:color w:val="0F4761" w:themeColor="accent1" w:themeShade="BF"/>
    </w:rPr>
  </w:style>
  <w:style w:type="character" w:styleId="IntenseReference">
    <w:name w:val="Intense Reference"/>
    <w:basedOn w:val="DefaultParagraphFont"/>
    <w:uiPriority w:val="32"/>
    <w:qFormat/>
    <w:rsid w:val="008C0AED"/>
    <w:rPr>
      <w:b/>
      <w:bCs/>
      <w:smallCaps/>
      <w:color w:val="0F4761" w:themeColor="accent1" w:themeShade="BF"/>
      <w:spacing w:val="5"/>
    </w:rPr>
  </w:style>
  <w:style w:type="table" w:styleId="TableGrid">
    <w:name w:val="Table Grid"/>
    <w:basedOn w:val="TableNormal"/>
    <w:uiPriority w:val="39"/>
    <w:rsid w:val="000A2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256F1-225F-4C6E-95BF-35B27B53D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1372</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Alexandre de Carvalho Serminaro</dc:creator>
  <cp:keywords/>
  <dc:description/>
  <cp:lastModifiedBy>Bruno Alexandre de Carvalho Serminaro</cp:lastModifiedBy>
  <cp:revision>3</cp:revision>
  <dcterms:created xsi:type="dcterms:W3CDTF">2026-08-31T09:37:00Z</dcterms:created>
  <dcterms:modified xsi:type="dcterms:W3CDTF">2026-08-31T10:01:00Z</dcterms:modified>
</cp:coreProperties>
</file>