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rFonts w:ascii="Calibri" w:hAnsi="Calibri"/>
          <w:b/>
          <w:color w:val="002060"/>
          <w:sz w:val="32"/>
        </w:rPr>
        <w:t>Deep dive GOL: a quebra está nos hubs, e há um teste barato antes de mobilizar operação</w:t>
      </w:r>
    </w:p>
    <w:p>
      <w:r>
        <w:rPr>
          <w:rFonts w:ascii="Calibri" w:hAnsi="Calibri"/>
          <w:color w:val="002060"/>
          <w:sz w:val="22"/>
        </w:rPr>
        <w:t>Comunicado de decisão, derivado do relatório IMRaD do deep dive GOL (ANAC, 2021-2026)</w:t>
      </w:r>
    </w:p>
    <w:tbl>
      <w:tblPr>
        <w:tblW w:type="auto" w:w="0"/>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513"/>
        <w:gridCol w:w="4513"/>
      </w:tblGrid>
      <w:tr>
        <w:tc>
          <w:tcPr>
            <w:tcW w:type="dxa" w:w="2154"/>
            <w:shd w:val="clear" w:color="auto" w:fill="E6ECF7"/>
          </w:tcPr>
          <w:p>
            <w:r/>
            <w:r>
              <w:rPr>
                <w:rFonts w:ascii="Calibri" w:hAnsi="Calibri"/>
                <w:b/>
                <w:color w:val="002060"/>
                <w:sz w:val="19"/>
              </w:rPr>
              <w:t>Para</w:t>
            </w:r>
          </w:p>
        </w:tc>
        <w:tc>
          <w:tcPr>
            <w:tcW w:type="dxa" w:w="6917"/>
          </w:tcPr>
          <w:p>
            <w:r/>
            <w:r>
              <w:rPr>
                <w:rFonts w:ascii="Calibri" w:hAnsi="Calibri"/>
                <w:color w:val="1A1A2E"/>
                <w:sz w:val="19"/>
              </w:rPr>
              <w:t>Planejamento de malha / Operações de solo</w:t>
            </w:r>
          </w:p>
        </w:tc>
      </w:tr>
      <w:tr>
        <w:tc>
          <w:tcPr>
            <w:tcW w:type="dxa" w:w="2154"/>
            <w:shd w:val="clear" w:color="auto" w:fill="E6ECF7"/>
          </w:tcPr>
          <w:p>
            <w:r/>
            <w:r>
              <w:rPr>
                <w:rFonts w:ascii="Calibri" w:hAnsi="Calibri"/>
                <w:b/>
                <w:color w:val="002060"/>
                <w:sz w:val="19"/>
              </w:rPr>
              <w:t>De</w:t>
            </w:r>
          </w:p>
        </w:tc>
        <w:tc>
          <w:tcPr>
            <w:tcW w:type="dxa" w:w="6917"/>
          </w:tcPr>
          <w:p>
            <w:r/>
            <w:r>
              <w:rPr>
                <w:rFonts w:ascii="Calibri" w:hAnsi="Calibri"/>
                <w:color w:val="1A1A2E"/>
                <w:sz w:val="19"/>
              </w:rPr>
              <w:t>Análise de dados</w:t>
            </w:r>
          </w:p>
        </w:tc>
      </w:tr>
      <w:tr>
        <w:tc>
          <w:tcPr>
            <w:tcW w:type="dxa" w:w="2154"/>
            <w:shd w:val="clear" w:color="auto" w:fill="E6ECF7"/>
          </w:tcPr>
          <w:p>
            <w:r/>
            <w:r>
              <w:rPr>
                <w:rFonts w:ascii="Calibri" w:hAnsi="Calibri"/>
                <w:b/>
                <w:color w:val="002060"/>
                <w:sz w:val="19"/>
              </w:rPr>
              <w:t>Data</w:t>
            </w:r>
          </w:p>
        </w:tc>
        <w:tc>
          <w:tcPr>
            <w:tcW w:type="dxa" w:w="6917"/>
          </w:tcPr>
          <w:p>
            <w:r/>
            <w:r>
              <w:rPr>
                <w:rFonts w:ascii="Calibri" w:hAnsi="Calibri"/>
                <w:color w:val="1A1A2E"/>
                <w:sz w:val="19"/>
              </w:rPr>
              <w:t>04/09/2026</w:t>
            </w:r>
          </w:p>
        </w:tc>
      </w:tr>
      <w:tr>
        <w:tc>
          <w:tcPr>
            <w:tcW w:type="dxa" w:w="2154"/>
            <w:shd w:val="clear" w:color="auto" w:fill="E6ECF7"/>
          </w:tcPr>
          <w:p>
            <w:r/>
            <w:r>
              <w:rPr>
                <w:rFonts w:ascii="Calibri" w:hAnsi="Calibri"/>
                <w:b/>
                <w:color w:val="002060"/>
                <w:sz w:val="19"/>
              </w:rPr>
              <w:t>Relatório de origem</w:t>
            </w:r>
          </w:p>
        </w:tc>
        <w:tc>
          <w:tcPr>
            <w:tcW w:type="dxa" w:w="6917"/>
          </w:tcPr>
          <w:p>
            <w:r/>
            <w:r>
              <w:rPr>
                <w:rFonts w:ascii="Calibri" w:hAnsi="Calibri"/>
                <w:color w:val="1A1A2E"/>
                <w:sz w:val="19"/>
              </w:rPr>
              <w:t>deep_dive_gol_imrad.docx (gerador-imrad-microdados)</w:t>
            </w:r>
          </w:p>
        </w:tc>
      </w:tr>
      <w:tr>
        <w:tc>
          <w:tcPr>
            <w:tcW w:type="dxa" w:w="2154"/>
            <w:shd w:val="clear" w:color="auto" w:fill="E6ECF7"/>
          </w:tcPr>
          <w:p>
            <w:r/>
            <w:r>
              <w:rPr>
                <w:rFonts w:ascii="Calibri" w:hAnsi="Calibri"/>
                <w:b/>
                <w:color w:val="002060"/>
                <w:sz w:val="19"/>
              </w:rPr>
              <w:t>Decisão pedida</w:t>
            </w:r>
          </w:p>
        </w:tc>
        <w:tc>
          <w:tcPr>
            <w:tcW w:type="dxa" w:w="6917"/>
          </w:tcPr>
          <w:p>
            <w:r/>
            <w:r>
              <w:rPr>
                <w:rFonts w:ascii="Calibri" w:hAnsi="Calibri"/>
                <w:color w:val="1A1A2E"/>
                <w:sz w:val="19"/>
              </w:rPr>
              <w:t>Aprovar a rodada de autocorrelação por base antes do próximo ciclo de planejamento de malha</w:t>
            </w:r>
          </w:p>
        </w:tc>
      </w:tr>
    </w:tbl>
    <w:p/>
    <w:p>
      <w:pPr>
        <w:spacing w:before="240"/>
      </w:pPr>
      <w:r>
        <w:rPr>
          <w:rFonts w:ascii="Calibri" w:hAnsi="Calibri"/>
          <w:b/>
          <w:color w:val="002060"/>
          <w:sz w:val="30"/>
        </w:rPr>
        <w:t>Situação</w:t>
      </w:r>
    </w:p>
    <w:p>
      <w:r>
        <w:rPr>
          <w:rFonts w:ascii="Calibri" w:hAnsi="Calibri"/>
          <w:color w:val="002060"/>
          <w:sz w:val="22"/>
        </w:rPr>
        <w:t>Deep dive exploratório sobre a operação da GOL entre janeiro de 2021 e 2026, sobre microdados públicos da ANAC, com a Azul como contraponto, cobrindo cinco indicadores independentes: malha de destinos, distribuição de frota, tempo de solo por hub, etapa média e block time.</w:t>
      </w:r>
    </w:p>
    <w:p>
      <w:r>
        <w:rPr>
          <w:rFonts w:ascii="Calibri" w:hAnsi="Calibri"/>
          <w:color w:val="002060"/>
          <w:sz w:val="22"/>
        </w:rPr>
        <w:t xml:space="preserve">Os cinco convergem numa leitura só, a de uma operação deliberadamente homogênea e reprodutível, e essa leitura se sustenta em todos eles menos num ponto: </w:t>
      </w:r>
      <w:r>
        <w:rPr>
          <w:rFonts w:ascii="Calibri" w:hAnsi="Calibri"/>
          <w:b/>
          <w:color w:val="002060"/>
          <w:sz w:val="22"/>
        </w:rPr>
        <w:t>o tempo de solo dos sete principais hubs subiu entre 2025 e 2026</w:t>
      </w:r>
      <w:r>
        <w:rPr>
          <w:rFonts w:ascii="Calibri" w:hAnsi="Calibri"/>
          <w:color w:val="002060"/>
          <w:sz w:val="22"/>
        </w:rPr>
        <w:t>, e o dado disponível não diz por quê.</w:t>
      </w:r>
    </w:p>
    <w:p>
      <w:r>
        <w:rPr>
          <w:rFonts w:ascii="Calibri" w:hAnsi="Calibri"/>
          <w:color w:val="002060"/>
          <w:sz w:val="22"/>
        </w:rPr>
        <w:t>A pergunta que isso levanta, e que este comunicado responde, é operacional e tem prazo: o que fazer com esse sinal antes do próximo ciclo de planejamento de malha.</w:t>
      </w:r>
    </w:p>
    <w:p>
      <w:pPr>
        <w:spacing w:before="240"/>
      </w:pPr>
      <w:r>
        <w:rPr>
          <w:rFonts w:ascii="Calibri" w:hAnsi="Calibri"/>
          <w:b/>
          <w:color w:val="002060"/>
          <w:sz w:val="30"/>
        </w:rPr>
        <w:t>Recomendação</w:t>
      </w:r>
    </w:p>
    <w:p>
      <w:r>
        <w:rPr>
          <w:rFonts w:ascii="Calibri" w:hAnsi="Calibri"/>
          <w:b/>
          <w:color w:val="002060"/>
          <w:sz w:val="22"/>
        </w:rPr>
        <w:t>Antes de mobilizar equipe operacional nos hubs, rode o cálculo de autocorrelação do tempo de solo por base.</w:t>
      </w:r>
      <w:r>
        <w:rPr>
          <w:rFonts w:ascii="Calibri" w:hAnsi="Calibri"/>
          <w:color w:val="002060"/>
          <w:sz w:val="22"/>
        </w:rPr>
        <w:t xml:space="preserve"> É uma rodada de scripts que já existem, sobre dado já carregado, sem coleta nova e sem envolver as bases.</w:t>
      </w:r>
    </w:p>
    <w:p>
      <w:r>
        <w:rPr>
          <w:rFonts w:ascii="Calibri" w:hAnsi="Calibri"/>
          <w:color w:val="002060"/>
          <w:sz w:val="22"/>
        </w:rPr>
        <w:t>O aumento observado nos sete maiores hubs tem duas causas possíveis que pedem respostas opostas: restrição de capacidade, que é custo imposto de fora, ou mudança de processo em solo, que é escolha nossa. O dado atual não distingue as duas, e a autocorrelação distingue: ela mede quanto tempo um distúrbio leva para se dissipar em cada base, e um hub que carrega o atraso de um dia para o outro não tem folga para absorvê-lo, que é a assinatura esperada de restrição de capacidade.</w:t>
      </w:r>
    </w:p>
    <w:p>
      <w:pPr>
        <w:jc w:val="center"/>
      </w:pPr>
      <w:r>
        <w:drawing>
          <wp:inline xmlns:a="http://schemas.openxmlformats.org/drawingml/2006/main" xmlns:pic="http://schemas.openxmlformats.org/drawingml/2006/picture">
            <wp:extent cx="5760000" cy="2487273"/>
            <wp:docPr id="1" name="Picture 1"/>
            <wp:cNvGraphicFramePr>
              <a:graphicFrameLocks noChangeAspect="1"/>
            </wp:cNvGraphicFramePr>
            <a:graphic>
              <a:graphicData uri="http://schemas.openxmlformats.org/drawingml/2006/picture">
                <pic:pic>
                  <pic:nvPicPr>
                    <pic:cNvPr id="0" name="rec_tempo_solo_medio_top_hubs.png"/>
                    <pic:cNvPicPr/>
                  </pic:nvPicPr>
                  <pic:blipFill>
                    <a:blip r:embed="rId11"/>
                    <a:stretch>
                      <a:fillRect/>
                    </a:stretch>
                  </pic:blipFill>
                  <pic:spPr>
                    <a:xfrm>
                      <a:off x="0" y="0"/>
                      <a:ext cx="5760000" cy="2487273"/>
                    </a:xfrm>
                    <a:prstGeom prst="rect"/>
                  </pic:spPr>
                </pic:pic>
              </a:graphicData>
            </a:graphic>
          </wp:inline>
        </w:drawing>
      </w:r>
    </w:p>
    <w:p>
      <w:pPr>
        <w:jc w:val="center"/>
      </w:pPr>
      <w:r>
        <w:rPr>
          <w:rFonts w:ascii="Calibri" w:hAnsi="Calibri"/>
          <w:i/>
          <w:color w:val="595959"/>
          <w:sz w:val="18"/>
        </w:rPr>
        <w:t>Tempo de solo médio nos dez maiores hubs da GOL por número de chegadas, 2021 a 2026. Os sete primeiros sobem no trecho final; Recife é a única exceção.</w:t>
      </w:r>
    </w:p>
    <w:p>
      <w:pPr>
        <w:spacing w:before="240"/>
      </w:pPr>
      <w:r>
        <w:rPr>
          <w:rFonts w:ascii="Calibri" w:hAnsi="Calibri"/>
          <w:b/>
          <w:color w:val="002060"/>
          <w:sz w:val="30"/>
        </w:rPr>
        <w:t>Porquês</w:t>
      </w:r>
    </w:p>
    <w:p>
      <w:r>
        <w:rPr>
          <w:rFonts w:ascii="Calibri" w:hAnsi="Calibri"/>
          <w:color w:val="002060"/>
          <w:sz w:val="22"/>
        </w:rPr>
        <w:t>O argumento abaixo é uma cadeia de três passos, não uma lista de três razões. Cada passo depende do anterior, e o terceiro é a recomendação.</w:t>
      </w:r>
    </w:p>
    <w:p>
      <w:pPr>
        <w:spacing w:before="160"/>
      </w:pPr>
      <w:r>
        <w:rPr>
          <w:rFonts w:ascii="Calibri" w:hAnsi="Calibri"/>
          <w:b/>
          <w:color w:val="002060"/>
          <w:sz w:val="24"/>
        </w:rPr>
        <w:t>1. Um sistema construído para se repetir teve, num único ponto, um desvio simultâneo</w:t>
      </w:r>
    </w:p>
    <w:p>
      <w:r>
        <w:rPr>
          <w:rFonts w:ascii="Calibri" w:hAnsi="Calibri"/>
          <w:color w:val="002060"/>
          <w:sz w:val="22"/>
        </w:rPr>
        <w:t>A operação da GOL é homogênea por desenho, e isso é medido, não impressão. A malha tem ciclo dominante de 7 dias, e a amplitude da variação semanal de destinos cai de 30 em 2021 para 7 em 2025, com a dispersão caindo junto (desvio padrão da variação de 1,3 para 0,5); a Azul, no mesmo 2025, opera com amplitude de 25. A frota tem três modelos, todos Boeing, em transição ordenada do 737-800 para o MAX 8, com idade em serviço mediana em torno de 4 anos e medianas de tempo de solo praticamente iguais entre os três.</w:t>
      </w:r>
    </w:p>
    <w:p>
      <w:r>
        <w:rPr>
          <w:rFonts w:ascii="Calibri" w:hAnsi="Calibri"/>
          <w:color w:val="002060"/>
          <w:sz w:val="22"/>
        </w:rPr>
        <w:t>Dentro desse sistema, os sete maiores hubs (Congonhas, Guarulhos, Galeão, Brasília, Salvador, Santos Dumont e Confins) subiram o tempo médio de solo entre 2025 e 2026, de 1 a 7 minutos, com a mediana acompanhando a média em todos os casos. Mediana acompanhando significa deslocamento do corpo da distribuição, não alguns eventos extremos puxando o número. Recife, o oitavo, é o único que recua. Nos três anos anteriores não há tendência consistente de alta nem de queda: o movimento de 2025 para 2026 é a única quebra de padrão do período.</w:t>
      </w:r>
    </w:p>
    <w:p>
      <w:r>
        <w:rPr>
          <w:rFonts w:ascii="Calibri" w:hAnsi="Calibri"/>
          <w:color w:val="002060"/>
          <w:sz w:val="22"/>
        </w:rPr>
        <w:t>Num sistema desenhado para se repetir semana após semana, um desvio simultâneo em sete bases é menos provável de ser ruído do que seria numa malha difusa. É essa homogeneidade que dá peso ao sinal.</w:t>
      </w:r>
    </w:p>
    <w:p>
      <w:pPr>
        <w:jc w:val="center"/>
      </w:pPr>
      <w:r>
        <w:drawing>
          <wp:inline xmlns:a="http://schemas.openxmlformats.org/drawingml/2006/main" xmlns:pic="http://schemas.openxmlformats.org/drawingml/2006/picture">
            <wp:extent cx="5760000" cy="2640000"/>
            <wp:docPr id="2" name="Picture 2"/>
            <wp:cNvGraphicFramePr>
              <a:graphicFrameLocks noChangeAspect="1"/>
            </wp:cNvGraphicFramePr>
            <a:graphic>
              <a:graphicData uri="http://schemas.openxmlformats.org/drawingml/2006/picture">
                <pic:pic>
                  <pic:nvPicPr>
                    <pic:cNvPr id="0" name="p1_tempo_solo_mensal_por_base.png"/>
                    <pic:cNvPicPr/>
                  </pic:nvPicPr>
                  <pic:blipFill>
                    <a:blip r:embed="rId12"/>
                    <a:stretch>
                      <a:fillRect/>
                    </a:stretch>
                  </pic:blipFill>
                  <pic:spPr>
                    <a:xfrm>
                      <a:off x="0" y="0"/>
                      <a:ext cx="5760000" cy="2640000"/>
                    </a:xfrm>
                    <a:prstGeom prst="rect"/>
                  </pic:spPr>
                </pic:pic>
              </a:graphicData>
            </a:graphic>
          </wp:inline>
        </w:drawing>
      </w:r>
    </w:p>
    <w:p>
      <w:pPr>
        <w:jc w:val="center"/>
      </w:pPr>
      <w:r>
        <w:rPr>
          <w:rFonts w:ascii="Calibri" w:hAnsi="Calibri"/>
          <w:i/>
          <w:color w:val="595959"/>
          <w:sz w:val="18"/>
        </w:rPr>
        <w:t>Tempo de solo médio mensal nas seis maiores bases, GOL. A homogeneidade é o que se vê: as bases saem de uma faixa dispersa e volátil em 2021 e 2022 e convergem, de 2023 em diante, para um corredor estreito e estável. O aumento recente de que trata o parágrafo acima é de 1 a 7 minutos, e por isso aparece na figura anual da Recomendação, não nesta escala.</w:t>
      </w:r>
    </w:p>
    <w:p>
      <w:pPr>
        <w:spacing w:before="160"/>
      </w:pPr>
      <w:r>
        <w:rPr>
          <w:rFonts w:ascii="Calibri" w:hAnsi="Calibri"/>
          <w:b/>
          <w:color w:val="002060"/>
          <w:sz w:val="24"/>
        </w:rPr>
        <w:t>2. Esse desvio vive no eixo da base, onde duas causas com respostas opostas competem</w:t>
      </w:r>
    </w:p>
    <w:p>
      <w:r>
        <w:rPr>
          <w:rFonts w:ascii="Calibri" w:hAnsi="Calibri"/>
          <w:color w:val="002060"/>
          <w:sz w:val="22"/>
        </w:rPr>
        <w:t>O desvio do passo 1 não está distribuído ao acaso pela operação: ele tem um eixo, e o eixo é a base, não o equipamento. Os outros dois indicadores operacionais dizem a mesma coisa. Na etapa média, as três séries mensais por modelo nunca se cruzam em cinco anos e meio, enquanto por base aparecem quebras isoladas e permanentes: o Galeão tem um platô entre 2022 e meados de 2023, em torno de 2,6 a 2,7 horas contra 2,1 a 2,3 antes e depois; Santos Dumont muda de patamar num único mês no fim de 2023, de 1,4 para 1,2 hora, e não volta. No block time vale a mesma leitura, em magnitude menor: a folga entre o tempo previsto e o voado não se separa por modelo de aeronave, e por base a mediana vai de cerca de 5 minutos em Congonhas a 2 em Santos Dumont, uma ordenação modesta mas consistente. As duas companhias ainda recuperam atraso em voo (mediana de 4 minutos na GOL, 3 na Azul), o que confirma que existe margem operacional em uso, administrada base a base.</w:t>
      </w:r>
    </w:p>
    <w:p>
      <w:r>
        <w:rPr>
          <w:rFonts w:ascii="Calibri" w:hAnsi="Calibri"/>
          <w:color w:val="002060"/>
          <w:sz w:val="22"/>
        </w:rPr>
        <w:t xml:space="preserve">Localizado o eixo, aparece o problema de decisão. No eixo da base, duas causas explicam igualmente bem um aumento de tempo de solo, e pedem respostas opostas: </w:t>
      </w:r>
      <w:r>
        <w:rPr>
          <w:rFonts w:ascii="Calibri" w:hAnsi="Calibri"/>
          <w:b/>
          <w:color w:val="002060"/>
          <w:sz w:val="22"/>
        </w:rPr>
        <w:t>restrição de capacidade</w:t>
      </w:r>
      <w:r>
        <w:rPr>
          <w:rFonts w:ascii="Calibri" w:hAnsi="Calibri"/>
          <w:color w:val="002060"/>
          <w:sz w:val="22"/>
        </w:rPr>
        <w:t xml:space="preserve"> no aeroporto, que é custo imposto de fora e exige renegociar slots e reprogramar malha, ou </w:t>
      </w:r>
      <w:r>
        <w:rPr>
          <w:rFonts w:ascii="Calibri" w:hAnsi="Calibri"/>
          <w:b/>
          <w:color w:val="002060"/>
          <w:sz w:val="22"/>
        </w:rPr>
        <w:t>mudança de processo em solo</w:t>
      </w:r>
      <w:r>
        <w:rPr>
          <w:rFonts w:ascii="Calibri" w:hAnsi="Calibri"/>
          <w:color w:val="002060"/>
          <w:sz w:val="22"/>
        </w:rPr>
        <w:t>, que é escolha nossa, possivelmente absorção deliberada de folga para proteger a pontualidade da etapa seguinte, e cuja leitura correta seria a inversa. O dado atual não distingue as duas.</w:t>
      </w:r>
    </w:p>
    <w:p>
      <w:r>
        <w:rPr>
          <w:rFonts w:ascii="Calibri" w:hAnsi="Calibri"/>
          <w:color w:val="002060"/>
          <w:sz w:val="22"/>
        </w:rPr>
        <w:t>As duas figuras abaixo são o argumento inteiro deste passo, e devem ser lidas uma contra a outra: mesma métrica, mesmo período, mesma escala. Por base, o nível quebra e não volta. Por modelo de aeronave, as três séries correm paralelas do começo ao fim.</w:t>
      </w:r>
    </w:p>
    <w:p>
      <w:pPr>
        <w:jc w:val="center"/>
      </w:pPr>
      <w:r>
        <w:drawing>
          <wp:inline xmlns:a="http://schemas.openxmlformats.org/drawingml/2006/main" xmlns:pic="http://schemas.openxmlformats.org/drawingml/2006/picture">
            <wp:extent cx="5760000" cy="2640000"/>
            <wp:docPr id="3" name="Picture 3"/>
            <wp:cNvGraphicFramePr>
              <a:graphicFrameLocks noChangeAspect="1"/>
            </wp:cNvGraphicFramePr>
            <a:graphic>
              <a:graphicData uri="http://schemas.openxmlformats.org/drawingml/2006/picture">
                <pic:pic>
                  <pic:nvPicPr>
                    <pic:cNvPr id="0" name="p2a_etapa_media_por_base.png"/>
                    <pic:cNvPicPr/>
                  </pic:nvPicPr>
                  <pic:blipFill>
                    <a:blip r:embed="rId13"/>
                    <a:stretch>
                      <a:fillRect/>
                    </a:stretch>
                  </pic:blipFill>
                  <pic:spPr>
                    <a:xfrm>
                      <a:off x="0" y="0"/>
                      <a:ext cx="5760000" cy="2640000"/>
                    </a:xfrm>
                    <a:prstGeom prst="rect"/>
                  </pic:spPr>
                </pic:pic>
              </a:graphicData>
            </a:graphic>
          </wp:inline>
        </w:drawing>
      </w:r>
    </w:p>
    <w:p>
      <w:pPr>
        <w:jc w:val="center"/>
      </w:pPr>
      <w:r>
        <w:rPr>
          <w:rFonts w:ascii="Calibri" w:hAnsi="Calibri"/>
          <w:i/>
          <w:color w:val="595959"/>
          <w:sz w:val="18"/>
        </w:rPr>
        <w:t>Duração média mensal de etapa por base hub, GOL. O Galeão sobe para um platô em 2022 e desce em 2023; Santos Dumont cai de patamar num único mês no fim de 2023 e fica lá. São quebras de base.</w:t>
      </w:r>
    </w:p>
    <w:p>
      <w:pPr>
        <w:jc w:val="center"/>
      </w:pPr>
      <w:r>
        <w:drawing>
          <wp:inline xmlns:a="http://schemas.openxmlformats.org/drawingml/2006/main" xmlns:pic="http://schemas.openxmlformats.org/drawingml/2006/picture">
            <wp:extent cx="5760000" cy="2618182"/>
            <wp:docPr id="4" name="Picture 4"/>
            <wp:cNvGraphicFramePr>
              <a:graphicFrameLocks noChangeAspect="1"/>
            </wp:cNvGraphicFramePr>
            <a:graphic>
              <a:graphicData uri="http://schemas.openxmlformats.org/drawingml/2006/picture">
                <pic:pic>
                  <pic:nvPicPr>
                    <pic:cNvPr id="0" name="p2b_etapa_media_por_modelo.png"/>
                    <pic:cNvPicPr/>
                  </pic:nvPicPr>
                  <pic:blipFill>
                    <a:blip r:embed="rId14"/>
                    <a:stretch>
                      <a:fillRect/>
                    </a:stretch>
                  </pic:blipFill>
                  <pic:spPr>
                    <a:xfrm>
                      <a:off x="0" y="0"/>
                      <a:ext cx="5760000" cy="2618182"/>
                    </a:xfrm>
                    <a:prstGeom prst="rect"/>
                  </pic:spPr>
                </pic:pic>
              </a:graphicData>
            </a:graphic>
          </wp:inline>
        </w:drawing>
      </w:r>
    </w:p>
    <w:p>
      <w:pPr>
        <w:jc w:val="center"/>
      </w:pPr>
      <w:r>
        <w:rPr>
          <w:rFonts w:ascii="Calibri" w:hAnsi="Calibri"/>
          <w:i/>
          <w:color w:val="595959"/>
          <w:sz w:val="18"/>
        </w:rPr>
        <w:t>Duração média mensal de etapa por modelo de aeronave, GOL. As três séries oscilam juntas e nunca se cruzam em cinco anos e meio: nenhuma quebra de nível, nenhuma reordenação. O equipamento não é o eixo.</w:t>
      </w:r>
    </w:p>
    <w:p>
      <w:pPr>
        <w:spacing w:before="160"/>
      </w:pPr>
      <w:r>
        <w:rPr>
          <w:rFonts w:ascii="Calibri" w:hAnsi="Calibri"/>
          <w:b/>
          <w:color w:val="002060"/>
          <w:sz w:val="24"/>
        </w:rPr>
        <w:t>3. Existe um cálculo que separa as duas causas sem sair do dado atual, e ele é mais barato que qualquer ação</w:t>
      </w:r>
    </w:p>
    <w:p>
      <w:r>
        <w:rPr>
          <w:rFonts w:ascii="Calibri" w:hAnsi="Calibri"/>
          <w:color w:val="002060"/>
          <w:sz w:val="22"/>
        </w:rPr>
        <w:t>Como as duas causas do passo 2 pedem respostas opostas, agir antes de distinguir significa escolher uma delas no escuro, com metade de chance de mobilizar equipe operacional contra um custo que não é nosso, ou de renegociar infraestrutura contra um processo interno já conhecido. E existe um cálculo que separa as duas com o dado que já está carregado.</w:t>
      </w:r>
    </w:p>
    <w:p>
      <w:r>
        <w:rPr>
          <w:rFonts w:ascii="Calibri" w:hAnsi="Calibri"/>
          <w:color w:val="002060"/>
          <w:sz w:val="22"/>
        </w:rPr>
        <w:t xml:space="preserve">A autocorrelação mede quanto o tempo de solo de um dia é herdado do dia anterior, ou seja, quanto tempo um distúrbio leva para se dissipar. Um hub que carrega o atraso de um dia para o outro não tem folga para absorver distúrbio, que é a assinatura esperada de restrição de capacidade. Um hub que recupera no mesmo dia tem folga, e um aumento de nível ali é mais compatível com mudança de processo. O cálculo já foi feito para a companhia inteira, e a leitura funciona: a GOL dissipa distúrbio mais rápido que a Azul, num contraste visível a olho. </w:t>
      </w:r>
      <w:r>
        <w:rPr>
          <w:rFonts w:ascii="Calibri" w:hAnsi="Calibri"/>
          <w:b/>
          <w:color w:val="002060"/>
          <w:sz w:val="22"/>
        </w:rPr>
        <w:t>Falta rodá-lo por base, que é onde o passo 2 mostrou que a decisão vive.</w:t>
      </w:r>
      <w:r>
        <w:rPr>
          <w:rFonts w:ascii="Calibri" w:hAnsi="Calibri"/>
          <w:color w:val="002060"/>
          <w:sz w:val="22"/>
        </w:rPr>
        <w:t xml:space="preserve"> São scripts que já existem, sobre dado já carregado, sem envolver as bases.</w:t>
      </w:r>
    </w:p>
    <w:p>
      <w:pPr>
        <w:jc w:val="center"/>
      </w:pPr>
      <w:r>
        <w:drawing>
          <wp:inline xmlns:a="http://schemas.openxmlformats.org/drawingml/2006/main" xmlns:pic="http://schemas.openxmlformats.org/drawingml/2006/picture">
            <wp:extent cx="5760000" cy="2880000"/>
            <wp:docPr id="5" name="Picture 5"/>
            <wp:cNvGraphicFramePr>
              <a:graphicFrameLocks noChangeAspect="1"/>
            </wp:cNvGraphicFramePr>
            <a:graphic>
              <a:graphicData uri="http://schemas.openxmlformats.org/drawingml/2006/picture">
                <pic:pic>
                  <pic:nvPicPr>
                    <pic:cNvPr id="0" name="p3_tempo_solo_lag_plot.png"/>
                    <pic:cNvPicPr/>
                  </pic:nvPicPr>
                  <pic:blipFill>
                    <a:blip r:embed="rId15"/>
                    <a:stretch>
                      <a:fillRect/>
                    </a:stretch>
                  </pic:blipFill>
                  <pic:spPr>
                    <a:xfrm>
                      <a:off x="0" y="0"/>
                      <a:ext cx="5760000" cy="2880000"/>
                    </a:xfrm>
                    <a:prstGeom prst="rect"/>
                  </pic:spPr>
                </pic:pic>
              </a:graphicData>
            </a:graphic>
          </wp:inline>
        </w:drawing>
      </w:r>
    </w:p>
    <w:p>
      <w:pPr>
        <w:jc w:val="center"/>
      </w:pPr>
      <w:r>
        <w:rPr>
          <w:rFonts w:ascii="Calibri" w:hAnsi="Calibri"/>
          <w:i/>
          <w:color w:val="595959"/>
          <w:sz w:val="18"/>
        </w:rPr>
        <w:t>Tempo de solo de cada dia contra o dia anterior, GOL e Azul. Quanto mais colada à diagonal a nuvem, mais o dia herda do anterior. É essa leitura que passa a ser feita hub a hub.</w:t>
      </w:r>
    </w:p>
    <w:p>
      <w:pPr>
        <w:spacing w:before="240"/>
      </w:pPr>
      <w:r>
        <w:rPr>
          <w:rFonts w:ascii="Calibri" w:hAnsi="Calibri"/>
          <w:b/>
          <w:color w:val="002060"/>
          <w:sz w:val="30"/>
        </w:rPr>
        <w:t>Pedido de ação</w:t>
      </w:r>
    </w:p>
    <w:p>
      <w:r>
        <w:rPr>
          <w:rFonts w:ascii="Calibri" w:hAnsi="Calibri"/>
          <w:b/>
          <w:color w:val="002060"/>
          <w:sz w:val="22"/>
        </w:rPr>
        <w:t>Aprovar a rodada de autocorrelação do tempo de solo por base</w:t>
      </w:r>
      <w:r>
        <w:rPr>
          <w:rFonts w:ascii="Calibri" w:hAnsi="Calibri"/>
          <w:color w:val="002060"/>
          <w:sz w:val="22"/>
        </w:rPr>
        <w:t>, com resultado antes do próximo ciclo de planejamento de malha. Não requer área operacional nem coleta nova: são scripts que já existem rodando sobre dado já carregado.</w:t>
      </w:r>
    </w:p>
    <w:p>
      <w:r>
        <w:rPr>
          <w:rFonts w:ascii="Calibri" w:hAnsi="Calibri"/>
          <w:color w:val="002060"/>
          <w:sz w:val="22"/>
        </w:rPr>
        <w:t>O produto é um ranking dos sete hubs por meia-vida de distúrbio, ou seja, quantos dias um desvio leva para se dissipar em cada base. Persistência alta aponta para restrição de capacidade; persistência baixa aponta para mudança de processo.</w:t>
      </w:r>
    </w:p>
    <w:p>
      <w:r>
        <w:rPr>
          <w:rFonts w:ascii="Calibri" w:hAnsi="Calibri"/>
          <w:b/>
          <w:color w:val="002060"/>
          <w:sz w:val="22"/>
        </w:rPr>
        <w:t>Uma condição de validade acompanha a aprovação:</w:t>
      </w:r>
      <w:r>
        <w:rPr>
          <w:rFonts w:ascii="Calibri" w:hAnsi="Calibri"/>
          <w:color w:val="002060"/>
          <w:sz w:val="22"/>
        </w:rPr>
        <w:t xml:space="preserve"> o cálculo precisa usar o mesmo critério de descarte de valores extremos em todas as bases, declarado junto com o resultado. O número medido é sensível a esse critério, e bases tratadas com critérios diferentes produziriam um ranking que ordena a limpeza do dado em vez da operação. É uma decisão de uma linha, tomada antes de rodar, e não muda o custo nem o prazo.</w:t>
      </w:r>
    </w:p>
    <w:p>
      <w:r>
        <w:rPr>
          <w:rFonts w:ascii="Calibri" w:hAnsi="Calibri"/>
          <w:b/>
          <w:color w:val="002060"/>
          <w:sz w:val="22"/>
        </w:rPr>
        <w:t>Segurar a decisão sobre abrir investigação de campo nos sete hubs até esse resultado.</w:t>
      </w:r>
      <w:r>
        <w:rPr>
          <w:rFonts w:ascii="Calibri" w:hAnsi="Calibri"/>
          <w:color w:val="002060"/>
          <w:sz w:val="22"/>
        </w:rPr>
        <w:t xml:space="preserve"> A investigação custa tempo de equipe operacional e pode terminar sem achado; o cálculo acima reduz o espaço de causas antes disso, por uma fração do custo.</w:t>
      </w:r>
    </w:p>
    <w:p>
      <w:pPr>
        <w:spacing w:before="240"/>
      </w:pPr>
      <w:r>
        <w:rPr>
          <w:rFonts w:ascii="Calibri" w:hAnsi="Calibri"/>
          <w:b/>
          <w:color w:val="002060"/>
          <w:sz w:val="30"/>
        </w:rPr>
        <w:t>Decisão pendente e critério de escolha</w:t>
      </w:r>
    </w:p>
    <w:p>
      <w:r>
        <w:rPr>
          <w:rFonts w:ascii="Calibri" w:hAnsi="Calibri"/>
          <w:color w:val="002060"/>
          <w:sz w:val="22"/>
        </w:rPr>
        <w:t xml:space="preserve">Uma decisão continua pendente de propósito, porque depende de um número que a análise não tem: </w:t>
      </w:r>
      <w:r>
        <w:rPr>
          <w:rFonts w:ascii="Calibri" w:hAnsi="Calibri"/>
          <w:b/>
          <w:color w:val="002060"/>
          <w:sz w:val="22"/>
        </w:rPr>
        <w:t>investigar os hubs agora, antes do próximo ciclo de planejamento de malha, ou aguardar o fechamento de 2026 e reavaliar com ano completo.</w:t>
      </w:r>
    </w:p>
    <w:p>
      <w:r>
        <w:rPr>
          <w:rFonts w:ascii="Calibri" w:hAnsi="Calibri"/>
          <w:b/>
          <w:color w:val="002060"/>
          <w:sz w:val="22"/>
        </w:rPr>
        <w:t>Critério de escolha:</w:t>
      </w:r>
      <w:r>
        <w:rPr>
          <w:rFonts w:ascii="Calibri" w:hAnsi="Calibri"/>
          <w:color w:val="002060"/>
          <w:sz w:val="22"/>
        </w:rPr>
        <w:t xml:space="preserve"> investigar agora se o custo de construir o próximo ciclo de malha sobre um pressuposto de tempo de solo desatualizado for maior que o custo de uma investigação operacional que pode terminar sem achado. Quem tem o primeiro número é o Planejamento de malha, não a análise.</w:t>
      </w:r>
    </w:p>
    <w:p>
      <w:r>
        <w:rPr>
          <w:rFonts w:ascii="Calibri" w:hAnsi="Calibri"/>
          <w:color w:val="002060"/>
          <w:sz w:val="22"/>
        </w:rPr>
        <w:t>O resultado do pedido de ação move esse critério nas duas direções. Persistência alta nas sete bases encarece a espera, porque indica restrição estrutural que não se resolve sozinha. Persistência baixa reduz a urgência, porque torna mais provável que o aumento seja mudança de processo já conhecida internamente.</w:t>
      </w:r>
    </w:p>
    <w:p>
      <w:pPr>
        <w:spacing w:before="240"/>
      </w:pPr>
      <w:r>
        <w:rPr>
          <w:rFonts w:ascii="Calibri" w:hAnsi="Calibri"/>
          <w:b/>
          <w:color w:val="002060"/>
          <w:sz w:val="30"/>
        </w:rPr>
        <w:t>Nota metodológica</w:t>
      </w:r>
    </w:p>
    <w:p>
      <w:r>
        <w:rPr>
          <w:rFonts w:ascii="Calibri" w:hAnsi="Calibri"/>
          <w:color w:val="002060"/>
          <w:sz w:val="22"/>
        </w:rPr>
        <w:t>Quatro limites do relatório-fonte afetam a confiança na recomendação acima.</w:t>
      </w:r>
    </w:p>
    <w:p>
      <w:pPr>
        <w:tabs>
          <w:tab w:pos="360" w:val="left"/>
        </w:tabs>
        <w:spacing w:after="40"/>
        <w:ind w:left="360" w:hanging="360"/>
      </w:pPr>
      <w:r>
        <w:rPr>
          <w:rFonts w:ascii="Calibri" w:hAnsi="Calibri"/>
          <w:color w:val="002060"/>
          <w:sz w:val="22"/>
        </w:rPr>
        <w:t>•</w:t>
        <w:tab/>
      </w:r>
      <w:r>
        <w:rPr>
          <w:rFonts w:ascii="Calibri" w:hAnsi="Calibri"/>
          <w:b/>
          <w:color w:val="002060"/>
          <w:sz w:val="22"/>
        </w:rPr>
        <w:t>A janela de 2026 é parcial.</w:t>
      </w:r>
      <w:r>
        <w:rPr>
          <w:rFonts w:ascii="Calibri" w:hAnsi="Calibri"/>
          <w:color w:val="002060"/>
          <w:sz w:val="22"/>
        </w:rPr>
        <w:t xml:space="preserve"> O achado central compara ano fechado com ano incompleto. A simultaneidade em sete bases e o acompanhamento da mediana sustentam o sinal, mas um teste que controle composição sazonal ainda não foi feito, e ele deve acompanhar a rodada pedida.</w:t>
      </w:r>
    </w:p>
    <w:p>
      <w:pPr>
        <w:tabs>
          <w:tab w:pos="360" w:val="left"/>
        </w:tabs>
        <w:spacing w:after="40"/>
        <w:ind w:left="360" w:hanging="360"/>
      </w:pPr>
      <w:r>
        <w:rPr>
          <w:rFonts w:ascii="Calibri" w:hAnsi="Calibri"/>
          <w:color w:val="002060"/>
          <w:sz w:val="22"/>
        </w:rPr>
        <w:t>•</w:t>
        <w:tab/>
      </w:r>
      <w:r>
        <w:rPr>
          <w:rFonts w:ascii="Calibri" w:hAnsi="Calibri"/>
          <w:b/>
          <w:color w:val="002060"/>
          <w:sz w:val="22"/>
        </w:rPr>
        <w:t>Duas frentes com critérios de limpeza diferentes.</w:t>
      </w:r>
      <w:r>
        <w:rPr>
          <w:rFonts w:ascii="Calibri" w:hAnsi="Calibri"/>
          <w:color w:val="002060"/>
          <w:sz w:val="22"/>
        </w:rPr>
        <w:t xml:space="preserve"> Destinos e frota vêm de tratamento manual; tempo de solo, etapa média e block time vêm do pipeline reprodutível. Valores das duas frentes não se somam nem se comparam diretamente, o que não afeta a recomendação (que vive inteira dentro da segunda frente).</w:t>
      </w:r>
    </w:p>
    <w:p>
      <w:pPr>
        <w:tabs>
          <w:tab w:pos="360" w:val="left"/>
        </w:tabs>
        <w:spacing w:after="40"/>
        <w:ind w:left="360" w:hanging="360"/>
      </w:pPr>
      <w:r>
        <w:rPr>
          <w:rFonts w:ascii="Calibri" w:hAnsi="Calibri"/>
          <w:color w:val="002060"/>
          <w:sz w:val="22"/>
        </w:rPr>
        <w:t>•</w:t>
        <w:tab/>
      </w:r>
      <w:r>
        <w:rPr>
          <w:rFonts w:ascii="Calibri" w:hAnsi="Calibri"/>
          <w:b/>
          <w:color w:val="002060"/>
          <w:sz w:val="22"/>
        </w:rPr>
        <w:t>A comparação de persistência entre GOL e Azul ainda não é um achado.</w:t>
      </w:r>
      <w:r>
        <w:rPr>
          <w:rFonts w:ascii="Calibri" w:hAnsi="Calibri"/>
          <w:color w:val="002060"/>
          <w:sz w:val="22"/>
        </w:rPr>
        <w:t xml:space="preserve"> Três explicações mecânicas (número de etapas por dia, mix de frota, sazonalidade semanal) não foram descartadas. Isso enfraquece a comparação entre empresas, não o pedido de ação, que compara bases da própria GOL: ali o mix de frota e a sazonalidade semanal são praticamente os mesmos. O tamanho de amostra, porém, varia bastante entre bases, e por isso a rodada precisa reportar o número de etapas por dia junto com o coeficiente.</w:t>
      </w:r>
    </w:p>
    <w:p>
      <w:pPr>
        <w:tabs>
          <w:tab w:pos="360" w:val="left"/>
        </w:tabs>
        <w:spacing w:after="40"/>
        <w:ind w:left="360" w:hanging="360"/>
      </w:pPr>
      <w:r>
        <w:rPr>
          <w:rFonts w:ascii="Calibri" w:hAnsi="Calibri"/>
          <w:color w:val="002060"/>
          <w:sz w:val="22"/>
        </w:rPr>
        <w:t>•</w:t>
        <w:tab/>
      </w:r>
      <w:r>
        <w:rPr>
          <w:rFonts w:ascii="Calibri" w:hAnsi="Calibri"/>
          <w:b/>
          <w:color w:val="002060"/>
          <w:sz w:val="22"/>
        </w:rPr>
        <w:t>O indicador é sensível ao critério de descarte de valores extremos.</w:t>
      </w:r>
      <w:r>
        <w:rPr>
          <w:rFonts w:ascii="Calibri" w:hAnsi="Calibri"/>
          <w:color w:val="002060"/>
          <w:sz w:val="22"/>
        </w:rPr>
        <w:t xml:space="preserve"> Trocar esse critério move a persistência medida na GOL de 1,4 para 1,8 dia, quase 30%, sem que nada mude na operação. Isso não invalida nenhum número do relatório, que declara qual critério usou em cada caso, mas é a razão da condição de validade que acompanha o pedido de ação: um ranking construído com critérios diferentes entre bases não é comparável.</w:t>
      </w:r>
    </w:p>
    <w:p>
      <w:r>
        <w:rPr>
          <w:rFonts w:ascii="Calibri" w:hAnsi="Calibri"/>
          <w:color w:val="002060"/>
          <w:sz w:val="22"/>
        </w:rPr>
        <w:t>Nada acima impede a decisão pedida. O relatório completo e a especificação do teste de cada uma das explicações mecânicas existem e estão disponíveis, mas esta página não depende deles para ser lida.</w:t>
      </w:r>
    </w:p>
    <w:sectPr w:rsidR="00D63250">
      <w:footerReference w:type="even" r:id="rId6"/>
      <w:footerReference w:type="default" r:id="rId7"/>
      <w:footerReference w:type="first" r:id="rId8"/>
      <w:pgSz w:w="11906" w:h="16838" w:orient="portrait"/>
      <w:pgMar w:top="1440" w:right="1440" w:bottom="1440" w:left="1440" w:header="720" w:footer="720" w:gutter="0"/>
      <w:cols w:space="720"/>
      <w:docGrid w:linePitch="360"/>
      <w:headerReference w:type="default" r:id="R0d3120fd06344bf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E439D" w:rsidP="00A9232E" w:rsidRDefault="00DE439D" w14:paraId="0F0D9A43" w14:textId="77777777">
      <w:pPr>
        <w:spacing w:after="0" w:line="240" w:lineRule="auto"/>
      </w:pPr>
      <w:r>
        <w:separator/>
      </w:r>
    </w:p>
  </w:endnote>
  <w:endnote w:type="continuationSeparator" w:id="0">
    <w:p w:rsidR="00DE439D" w:rsidP="00A9232E" w:rsidRDefault="00DE439D" w14:paraId="187A4CF5"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A9232E" w:rsidRDefault="00A9232E" w14:paraId="34433C57" w14:textId="6021A62E">
    <w:pPr>
      <w:pStyle w:val="Rodap"/>
    </w:pPr>
    <w:r>
      <w:rPr>
        <w:noProof/>
      </w:rPr>
      <mc:AlternateContent>
        <mc:Choice Requires="wps">
          <w:drawing>
            <wp:anchor distT="0" distB="0" distL="0" distR="0" simplePos="0" relativeHeight="251659264" behindDoc="0" locked="0" layoutInCell="1" allowOverlap="1" wp14:anchorId="05F12E0C" wp14:editId="2220F2DF">
              <wp:simplePos x="635" y="635"/>
              <wp:positionH relativeFrom="page">
                <wp:align>center</wp:align>
              </wp:positionH>
              <wp:positionV relativeFrom="page">
                <wp:align>bottom</wp:align>
              </wp:positionV>
              <wp:extent cx="5731510" cy="685800"/>
              <wp:effectExtent l="0" t="0" r="2540" b="0"/>
              <wp:wrapNone/>
              <wp:docPr id="1443052930" name="Caixa de Texto 2" descr="Este conteúdo e quaisquer informações anexadas a ele são confidenciais e destinados exclusivamente para uso do indivíduo ou pela entidade a quem estão endereçados. Se você recebeu este email por engano, notifique o administrador do sistema e exclua esta mensagem juntamente com seus anexos. | This content and any information attached thereto is confidential and intended solely for use by the individual or entity to whom it is addressed. If you have received this email in error, notify your system administrator and delete this message along with any attachments.">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731510" cy="685800"/>
                      </a:xfrm>
                      <a:prstGeom prst="rect">
                        <a:avLst/>
                      </a:prstGeom>
                      <a:noFill/>
                      <a:ln>
                        <a:noFill/>
                      </a:ln>
                    </wps:spPr>
                    <wps:txbx>
                      <w:txbxContent>
                        <w:p w:rsidRPr="00A9232E" w:rsidR="00A9232E" w:rsidP="00A9232E" w:rsidRDefault="00A9232E" w14:paraId="7C27ACFD" w14:textId="192456C1">
                          <w:pPr>
                            <w:spacing w:after="0"/>
                            <w:rPr>
                              <w:rFonts w:ascii="Aptos" w:hAnsi="Aptos" w:eastAsia="Aptos" w:cs="Aptos"/>
                              <w:noProof/>
                              <w:color w:val="000000"/>
                              <w:sz w:val="14"/>
                              <w:szCs w:val="14"/>
                            </w:rPr>
                          </w:pPr>
                          <w:r w:rsidRPr="00A9232E">
                            <w:rPr>
                              <w:rFonts w:ascii="Aptos" w:hAnsi="Aptos" w:eastAsia="Aptos" w:cs="Aptos"/>
                              <w:noProof/>
                              <w:color w:val="000000"/>
                              <w:sz w:val="14"/>
                              <w:szCs w:val="14"/>
                            </w:rPr>
                            <w:t>Este conteúdo e quaisquer informações anexadas a ele são confidenciais e destinados exclusivamente para uso do indivíduo ou pela entidade a quem estão endereçados. Se você recebeu este email por engano, notifique o administrador do sistema e exclua esta mensagem juntamente com seus anexos. | This content and any information attached thereto is confidential and intended solely for use by the individual or entity to whom it is addressed. If you have received this email in error, notify your system administrator and delete this message along with any attachments.</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id="_x0000_t202" coordsize="21600,21600" o:spt="202" path="m,l,21600r21600,l21600,xe" w14:anchorId="05F12E0C">
              <v:stroke joinstyle="miter"/>
              <v:path gradientshapeok="t" o:connecttype="rect"/>
            </v:shapetype>
            <v:shape id="Caixa de Texto 2" style="position:absolute;margin-left:0;margin-top:0;width:451.3pt;height:54pt;z-index:251659264;visibility:visible;mso-wrap-style:none;mso-wrap-distance-left:0;mso-wrap-distance-top:0;mso-wrap-distance-right:0;mso-wrap-distance-bottom:0;mso-position-horizontal:center;mso-position-horizontal-relative:page;mso-position-vertical:bottom;mso-position-vertical-relative:page;v-text-anchor:bottom" alt="Este conteúdo e quaisquer informações anexadas a ele são confidenciais e destinados exclusivamente para uso do indivíduo ou pela entidade a quem estão endereçados. Se você recebeu este email por engano, notifique o administrador do sistema e exclua esta mensagem juntamente com seus anexos. | This content and any information attached thereto is confidential and intended solely for use by the individual or entity to whom it is addressed. If you have received this email in error, notify your system administrator and delete this message along with any attachments."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">
              <v:fill o:detectmouseclick="t"/>
              <v:textbox style="mso-fit-shape-to-text:t" inset="0,0,0,15pt">
                <w:txbxContent>
                  <w:p w:rsidRPr="00A9232E" w:rsidR="00A9232E" w:rsidP="00A9232E" w:rsidRDefault="00A9232E" w14:paraId="7C27ACFD" w14:textId="192456C1">
                    <w:pPr>
                      <w:spacing w:after="0"/>
                      <w:rPr>
                        <w:rFonts w:ascii="Aptos" w:hAnsi="Aptos" w:eastAsia="Aptos" w:cs="Aptos"/>
                        <w:noProof/>
                        <w:color w:val="000000"/>
                        <w:sz w:val="14"/>
                        <w:szCs w:val="14"/>
                      </w:rPr>
                    </w:pPr>
                    <w:r w:rsidRPr="00A9232E">
                      <w:rPr>
                        <w:rFonts w:ascii="Aptos" w:hAnsi="Aptos" w:eastAsia="Aptos" w:cs="Aptos"/>
                        <w:noProof/>
                        <w:color w:val="000000"/>
                        <w:sz w:val="14"/>
                        <w:szCs w:val="14"/>
                      </w:rPr>
                      <w:t>Este conteúdo e quaisquer informações anexadas a ele são confidenciais e destinados exclusivamente para uso do indivíduo ou pela entidade a quem estão endereçados. Se você recebeu este email por engano, notifique o administrador do sistema e exclua esta mensagem juntamente com seus anexos. | This content and any information attached thereto is confidential and intended solely for use by the individual or entity to whom it is addressed. If you have received this email in error, notify your system administrator and delete this message along with any attachments.</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A9232E" w:rsidRDefault="00A9232E" w14:paraId="3A0B8892" w14:textId="02017C63">
    <w:pPr>
      <w:pStyle w:val="Rodap"/>
    </w:pPr>
    <w:r>
      <w:rPr>
        <w:noProof/>
      </w:rPr>
      <mc:AlternateContent>
        <mc:Choice Requires="wps">
          <w:drawing>
            <wp:anchor distT="0" distB="0" distL="0" distR="0" simplePos="0" relativeHeight="251660288" behindDoc="0" locked="0" layoutInCell="1" allowOverlap="1" wp14:anchorId="0E0D8123" wp14:editId="6DBFA538">
              <wp:simplePos x="635" y="635"/>
              <wp:positionH relativeFrom="page">
                <wp:align>center</wp:align>
              </wp:positionH>
              <wp:positionV relativeFrom="page">
                <wp:align>bottom</wp:align>
              </wp:positionV>
              <wp:extent cx="5731510" cy="685800"/>
              <wp:effectExtent l="0" t="0" r="2540" b="0"/>
              <wp:wrapNone/>
              <wp:docPr id="1173882663" name="Caixa de Texto 3" descr="Este conteúdo e quaisquer informações anexadas a ele são confidenciais e destinados exclusivamente para uso do indivíduo ou pela entidade a quem estão endereçados. Se você recebeu este email por engano, notifique o administrador do sistema e exclua esta mensagem juntamente com seus anexos. | This content and any information attached thereto is confidential and intended solely for use by the individual or entity to whom it is addressed. If you have received this email in error, notify your system administrator and delete this message along with any attachments.">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731510" cy="685800"/>
                      </a:xfrm>
                      <a:prstGeom prst="rect">
                        <a:avLst/>
                      </a:prstGeom>
                      <a:noFill/>
                      <a:ln>
                        <a:noFill/>
                      </a:ln>
                    </wps:spPr>
                    <wps:txbx>
                      <w:txbxContent>
                        <w:p w:rsidRPr="00A9232E" w:rsidR="00A9232E" w:rsidP="00A9232E" w:rsidRDefault="00A9232E" w14:paraId="36FE0028" w14:textId="4958C663">
                          <w:pPr>
                            <w:spacing w:after="0"/>
                            <w:rPr>
                              <w:rFonts w:ascii="Aptos" w:hAnsi="Aptos" w:eastAsia="Aptos" w:cs="Aptos"/>
                              <w:noProof/>
                              <w:color w:val="000000"/>
                              <w:sz w:val="14"/>
                              <w:szCs w:val="14"/>
                            </w:rPr>
                          </w:pPr>
                          <w:r w:rsidRPr="00A9232E">
                            <w:rPr>
                              <w:rFonts w:ascii="Aptos" w:hAnsi="Aptos" w:eastAsia="Aptos" w:cs="Aptos"/>
                              <w:noProof/>
                              <w:color w:val="000000"/>
                              <w:sz w:val="14"/>
                              <w:szCs w:val="14"/>
                            </w:rPr>
                            <w:t>Este conteúdo e quaisquer informações anexadas a ele são confidenciais e destinados exclusivamente para uso do indivíduo ou pela entidade a quem estão endereçados. Se você recebeu este email por engano, notifique o administrador do sistema e exclua esta mensagem juntamente com seus anexos. | This content and any information attached thereto is confidential and intended solely for use by the individual or entity to whom it is addressed. If you have received this email in error, notify your system administrator and delete this message along with any attachments.</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id="_x0000_t202" coordsize="21600,21600" o:spt="202" path="m,l,21600r21600,l21600,xe" w14:anchorId="0E0D8123">
              <v:stroke joinstyle="miter"/>
              <v:path gradientshapeok="t" o:connecttype="rect"/>
            </v:shapetype>
            <v:shape id="Caixa de Texto 3" style="position:absolute;margin-left:0;margin-top:0;width:451.3pt;height:54pt;z-index:251660288;visibility:visible;mso-wrap-style:none;mso-wrap-distance-left:0;mso-wrap-distance-top:0;mso-wrap-distance-right:0;mso-wrap-distance-bottom:0;mso-position-horizontal:center;mso-position-horizontal-relative:page;mso-position-vertical:bottom;mso-position-vertical-relative:page;v-text-anchor:bottom" alt="Este conteúdo e quaisquer informações anexadas a ele são confidenciais e destinados exclusivamente para uso do indivíduo ou pela entidade a quem estão endereçados. Se você recebeu este email por engano, notifique o administrador do sistema e exclua esta mensagem juntamente com seus anexos. | This content and any information attached thereto is confidential and intended solely for use by the individual or entity to whom it is addressed. If you have received this email in error, notify your system administrator and delete this message along with any attachments."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">
              <v:fill o:detectmouseclick="t"/>
              <v:textbox style="mso-fit-shape-to-text:t" inset="0,0,0,15pt">
                <w:txbxContent>
                  <w:p w:rsidRPr="00A9232E" w:rsidR="00A9232E" w:rsidP="00A9232E" w:rsidRDefault="00A9232E" w14:paraId="36FE0028" w14:textId="4958C663">
                    <w:pPr>
                      <w:spacing w:after="0"/>
                      <w:rPr>
                        <w:rFonts w:ascii="Aptos" w:hAnsi="Aptos" w:eastAsia="Aptos" w:cs="Aptos"/>
                        <w:noProof/>
                        <w:color w:val="000000"/>
                        <w:sz w:val="14"/>
                        <w:szCs w:val="14"/>
                      </w:rPr>
                    </w:pPr>
                    <w:r w:rsidRPr="00A9232E">
                      <w:rPr>
                        <w:rFonts w:ascii="Aptos" w:hAnsi="Aptos" w:eastAsia="Aptos" w:cs="Aptos"/>
                        <w:noProof/>
                        <w:color w:val="000000"/>
                        <w:sz w:val="14"/>
                        <w:szCs w:val="14"/>
                      </w:rPr>
                      <w:t>Este conteúdo e quaisquer informações anexadas a ele são confidenciais e destinados exclusivamente para uso do indivíduo ou pela entidade a quem estão endereçados. Se você recebeu este email por engano, notifique o administrador do sistema e exclua esta mensagem juntamente com seus anexos. | This content and any information attached thereto is confidential and intended solely for use by the individual or entity to whom it is addressed. If you have received this email in error, notify your system administrator and delete this message along with any attachments.</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A9232E" w:rsidRDefault="00A9232E" w14:paraId="671A4B2E" w14:textId="262A2F71">
    <w:pPr>
      <w:pStyle w:val="Rodap"/>
    </w:pPr>
    <w:r>
      <w:rPr>
        <w:noProof/>
      </w:rPr>
      <mc:AlternateContent>
        <mc:Choice Requires="wps">
          <w:drawing>
            <wp:anchor distT="0" distB="0" distL="0" distR="0" simplePos="0" relativeHeight="251658240" behindDoc="0" locked="0" layoutInCell="1" allowOverlap="1" wp14:anchorId="3B6AD406" wp14:editId="7FCB85E7">
              <wp:simplePos x="635" y="635"/>
              <wp:positionH relativeFrom="page">
                <wp:align>center</wp:align>
              </wp:positionH>
              <wp:positionV relativeFrom="page">
                <wp:align>bottom</wp:align>
              </wp:positionV>
              <wp:extent cx="5731510" cy="685800"/>
              <wp:effectExtent l="0" t="0" r="2540" b="0"/>
              <wp:wrapNone/>
              <wp:docPr id="1671253481" name="Caixa de Texto 1" descr="Este conteúdo e quaisquer informações anexadas a ele são confidenciais e destinados exclusivamente para uso do indivíduo ou pela entidade a quem estão endereçados. Se você recebeu este email por engano, notifique o administrador do sistema e exclua esta mensagem juntamente com seus anexos. | This content and any information attached thereto is confidential and intended solely for use by the individual or entity to whom it is addressed. If you have received this email in error, notify your system administrator and delete this message along with any attachments.">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731510" cy="685800"/>
                      </a:xfrm>
                      <a:prstGeom prst="rect">
                        <a:avLst/>
                      </a:prstGeom>
                      <a:noFill/>
                      <a:ln>
                        <a:noFill/>
                      </a:ln>
                    </wps:spPr>
                    <wps:txbx>
                      <w:txbxContent>
                        <w:p w:rsidRPr="00A9232E" w:rsidR="00A9232E" w:rsidP="00A9232E" w:rsidRDefault="00A9232E" w14:paraId="0DACC1C4" w14:textId="37923A18">
                          <w:pPr>
                            <w:spacing w:after="0"/>
                            <w:rPr>
                              <w:rFonts w:ascii="Aptos" w:hAnsi="Aptos" w:eastAsia="Aptos" w:cs="Aptos"/>
                              <w:noProof/>
                              <w:color w:val="000000"/>
                              <w:sz w:val="14"/>
                              <w:szCs w:val="14"/>
                            </w:rPr>
                          </w:pPr>
                          <w:r w:rsidRPr="00A9232E">
                            <w:rPr>
                              <w:rFonts w:ascii="Aptos" w:hAnsi="Aptos" w:eastAsia="Aptos" w:cs="Aptos"/>
                              <w:noProof/>
                              <w:color w:val="000000"/>
                              <w:sz w:val="14"/>
                              <w:szCs w:val="14"/>
                            </w:rPr>
                            <w:t>Este conteúdo e quaisquer informações anexadas a ele são confidenciais e destinados exclusivamente para uso do indivíduo ou pela entidade a quem estão endereçados. Se você recebeu este email por engano, notifique o administrador do sistema e exclua esta mensagem juntamente com seus anexos. | This content and any information attached thereto is confidential and intended solely for use by the individual or entity to whom it is addressed. If you have received this email in error, notify your system administrator and delete this message along with any attachments.</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id="_x0000_t202" coordsize="21600,21600" o:spt="202" path="m,l,21600r21600,l21600,xe" w14:anchorId="3B6AD406">
              <v:stroke joinstyle="miter"/>
              <v:path gradientshapeok="t" o:connecttype="rect"/>
            </v:shapetype>
            <v:shape id="Caixa de Texto 1" style="position:absolute;margin-left:0;margin-top:0;width:451.3pt;height:54pt;z-index:251658240;visibility:visible;mso-wrap-style:none;mso-wrap-distance-left:0;mso-wrap-distance-top:0;mso-wrap-distance-right:0;mso-wrap-distance-bottom:0;mso-position-horizontal:center;mso-position-horizontal-relative:page;mso-position-vertical:bottom;mso-position-vertical-relative:page;v-text-anchor:bottom" alt="Este conteúdo e quaisquer informações anexadas a ele são confidenciais e destinados exclusivamente para uso do indivíduo ou pela entidade a quem estão endereçados. Se você recebeu este email por engano, notifique o administrador do sistema e exclua esta mensagem juntamente com seus anexos. | This content and any information attached thereto is confidential and intended solely for use by the individual or entity to whom it is addressed. If you have received this email in error, notify your system administrator and delete this message along with any attachments."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">
              <v:fill o:detectmouseclick="t"/>
              <v:textbox style="mso-fit-shape-to-text:t" inset="0,0,0,15pt">
                <w:txbxContent>
                  <w:p w:rsidRPr="00A9232E" w:rsidR="00A9232E" w:rsidP="00A9232E" w:rsidRDefault="00A9232E" w14:paraId="0DACC1C4" w14:textId="37923A18">
                    <w:pPr>
                      <w:spacing w:after="0"/>
                      <w:rPr>
                        <w:rFonts w:ascii="Aptos" w:hAnsi="Aptos" w:eastAsia="Aptos" w:cs="Aptos"/>
                        <w:noProof/>
                        <w:color w:val="000000"/>
                        <w:sz w:val="14"/>
                        <w:szCs w:val="14"/>
                      </w:rPr>
                    </w:pPr>
                    <w:r w:rsidRPr="00A9232E">
                      <w:rPr>
                        <w:rFonts w:ascii="Aptos" w:hAnsi="Aptos" w:eastAsia="Aptos" w:cs="Aptos"/>
                        <w:noProof/>
                        <w:color w:val="000000"/>
                        <w:sz w:val="14"/>
                        <w:szCs w:val="14"/>
                      </w:rPr>
                      <w:t>Este conteúdo e quaisquer informações anexadas a ele são confidenciais e destinados exclusivamente para uso do indivíduo ou pela entidade a quem estão endereçados. Se você recebeu este email por engano, notifique o administrador do sistema e exclua esta mensagem juntamente com seus anexos. | This content and any information attached thereto is confidential and intended solely for use by the individual or entity to whom it is addressed. If you have received this email in error, notify your system administrator and delete this message along with any attachments.</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E439D" w:rsidP="00A9232E" w:rsidRDefault="00DE439D" w14:paraId="0E29F0CF" w14:textId="77777777">
      <w:pPr>
        <w:spacing w:after="0" w:line="240" w:lineRule="auto"/>
      </w:pPr>
      <w:r>
        <w:separator/>
      </w:r>
    </w:p>
  </w:footnote>
  <w:footnote w:type="continuationSeparator" w:id="0">
    <w:p w:rsidR="00DE439D" w:rsidP="00A9232E" w:rsidRDefault="00DE439D" w14:paraId="1FC040A1" w14:textId="77777777">
      <w:pPr>
        <w:spacing w:after="0" w:line="240" w:lineRule="auto"/>
      </w:pPr>
      <w:r>
        <w:continuationSeparator/>
      </w:r>
    </w:p>
  </w:footnote>
</w:footnotes>
</file>

<file path=word/header.xml><?xml version="1.0" encoding="utf-8"?>
<w:hdr xmlns:w14="http://schemas.microsoft.com/office/word/2010/wordml" xmlns:wp="http://schemas.openxmlformats.org/drawingml/2006/wordprocessingDrawing" xmlns:wp14="http://schemas.microsoft.com/office/word/2010/wordprocessingDrawing" xmlns:a="http://schemas.openxmlformats.org/drawingml/2006/main" xmlns:pic="http://schemas.openxmlformats.org/drawingml/2006/picture" xmlns:r="http://schemas.openxmlformats.org/officeDocument/2006/relationships" xmlns:a14="http://schemas.microsoft.com/office/drawing/2010/main" xmlns:w="http://schemas.openxmlformats.org/wordprocessingml/2006/main">
  <w:tbl>
    <w:tblPr>
      <w:tblStyle w:val="Tabelanormal"/>
      <w:bidiVisual w:val="0"/>
      <w:tblW w:w="0" w:type="auto"/>
      <w:tblLook w:val="06A0" w:firstRow="1" w:lastRow="0" w:firstColumn="1" w:lastColumn="0" w:noHBand="1" w:noVBand="1"/>
    </w:tblPr>
    <w:tblGrid>
      <w:gridCol w:w="3005"/>
      <w:gridCol w:w="3005"/>
      <w:gridCol w:w="3005"/>
    </w:tblGrid>
    <w:tr w:rsidR="0C1C40CD" w:rsidTr="59B6CAB5" w14:paraId="21B36AA1">
      <w:trPr>
        <w:trHeight w:val="300"/>
      </w:trPr>
      <w:tc>
        <w:tcPr>
          <w:tcW w:w="3005" w:type="dxa"/>
          <w:tcMar/>
        </w:tcPr>
        <w:p w:rsidR="0C1C40CD" w:rsidP="0C1C40CD" w:rsidRDefault="0C1C40CD" w14:paraId="5A8469AC" w14:textId="28A974ED">
          <w:pPr>
            <w:pStyle w:val="Header"/>
            <w:ind w:left="-115"/>
            <w:jc w:val="left"/>
          </w:pPr>
          <w:r w:rsidR="0C1C40CD">
            <w:drawing>
              <wp:anchor distT="0" distB="0" distL="114300" distR="114300" simplePos="0" relativeHeight="251658240" behindDoc="0" locked="0" layoutInCell="1" allowOverlap="1" wp14:anchorId="0BF54DBE" wp14:editId="18F48C7C">
                <wp:simplePos x="0" y="0"/>
                <wp:positionH relativeFrom="column">
                  <wp:posOffset>-428625</wp:posOffset>
                </wp:positionH>
                <wp:positionV relativeFrom="paragraph">
                  <wp:posOffset>-314325</wp:posOffset>
                </wp:positionV>
                <wp:extent cx="1266825" cy="352425"/>
                <wp:effectExtent l="0" t="0" r="0" b="0"/>
                <wp:wrapNone/>
                <wp:docPr id="20625126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942518035" name="Picture 1942518035"/>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254538903">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1266825" cy="352425"/>
                        </a:xfrm>
                        <a:prstGeom xmlns:a="http://schemas.openxmlformats.org/drawingml/2006/main" prst="rect">
                          <a:avLst xmlns:a="http://schemas.openxmlformats.org/drawingml/2006/main"/>
                        </a:prstGeom>
                      </pic:spPr>
                    </pic:pic>
                  </a:graphicData>
                </a:graphic>
                <wp14:sizeRelH relativeFrom="page">
                  <wp14:pctWidth>0</wp14:pctWidth>
                </wp14:sizeRelH>
                <wp14:sizeRelV relativeFrom="page">
                  <wp14:pctHeight>0</wp14:pctHeight>
                </wp14:sizeRelV>
              </wp:anchor>
            </w:drawing>
          </w:r>
        </w:p>
      </w:tc>
      <w:tc>
        <w:tcPr>
          <w:tcW w:w="3005" w:type="dxa"/>
          <w:tcMar/>
        </w:tcPr>
        <w:p w:rsidR="0C1C40CD" w:rsidP="0C1C40CD" w:rsidRDefault="0C1C40CD" w14:paraId="77DA64C3" w14:textId="2B75C416">
          <w:pPr>
            <w:pStyle w:val="Header"/>
            <w:bidi w:val="0"/>
            <w:jc w:val="center"/>
          </w:pPr>
        </w:p>
      </w:tc>
      <w:tc>
        <w:tcPr>
          <w:tcW w:w="3005" w:type="dxa"/>
          <w:tcMar/>
        </w:tcPr>
        <w:p w:rsidR="0C1C40CD" w:rsidP="0C1C40CD" w:rsidRDefault="0C1C40CD" w14:paraId="1F0593D3" w14:textId="48970D98">
          <w:pPr>
            <w:pStyle w:val="Header"/>
            <w:ind w:right="-115"/>
            <w:jc w:val="right"/>
          </w:pPr>
          <w:r w:rsidR="0C1C40CD">
            <w:drawing>
              <wp:anchor distT="0" distB="0" distL="114300" distR="114300" simplePos="0" relativeHeight="251658240" behindDoc="0" locked="0" layoutInCell="1" allowOverlap="1" wp14:anchorId="47017591" wp14:editId="7ACEFEE6">
                <wp:simplePos x="0" y="0"/>
                <wp:positionH relativeFrom="column">
                  <wp:posOffset>1666875</wp:posOffset>
                </wp:positionH>
                <wp:positionV relativeFrom="paragraph">
                  <wp:posOffset>-190500</wp:posOffset>
                </wp:positionV>
                <wp:extent cx="876300" cy="762000"/>
                <wp:effectExtent l="0" t="0" r="0" b="0"/>
                <wp:wrapNone/>
                <wp:docPr id="9402078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211311888" name="Picture 211311888"/>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47391134">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876300" cy="762000"/>
                        </a:xfrm>
                        <a:prstGeom xmlns:a="http://schemas.openxmlformats.org/drawingml/2006/main" prst="rect">
                          <a:avLst xmlns:a="http://schemas.openxmlformats.org/drawingml/2006/main"/>
                        </a:prstGeom>
                      </pic:spPr>
                    </pic:pic>
                  </a:graphicData>
                </a:graphic>
                <wp14:sizeRelH relativeFrom="page">
                  <wp14:pctWidth>0</wp14:pctWidth>
                </wp14:sizeRelH>
                <wp14:sizeRelV relativeFrom="page">
                  <wp14:pctHeight>0</wp14:pctHeight>
                </wp14:sizeRelV>
              </wp:anchor>
            </w:drawing>
          </w:r>
        </w:p>
      </w:tc>
    </w:tr>
  </w:tbl>
  <w:p w:rsidR="0C1C40CD" w:rsidP="0C1C40CD" w:rsidRDefault="0C1C40CD" w14:paraId="492BD9A0" w14:textId="661CB3E3">
    <w:pPr>
      <w:pStyle w:val="Header"/>
      <w:bidi w:val="0"/>
    </w:pPr>
  </w:p>
</w:hdr>
</file>

<file path=word/numbering.xml><?xml version="1.0" encoding="utf-8"?>
<w:numbering xmlns:w="http://schemas.openxmlformats.org/wordprocessingml/2006/main">
  <w:abstractNum xmlns:w="http://schemas.openxmlformats.org/wordprocessingml/2006/main" w:abstractNumId="1">
    <w:nsid w:val="5eaedd40"/>
    <w:multiLevelType xmlns:w="http://schemas.openxmlformats.org/wordprocessingml/2006/main" w:val="hybridMultilevel"/>
    <w:lvl xmlns:w="http://schemas.openxmlformats.org/wordprocessingml/2006/main" w:ilvl="0">
      <w:start w:val="1"/>
      <w:numFmt w:val="bullet"/>
      <w:lvlText w:val="•"/>
      <w:lvlJc w:val="left"/>
      <w:pPr>
        <w:ind w:left="460" w:hanging="2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888E0FA"/>
    <w:rsid w:val="0057713E"/>
    <w:rsid w:val="00A9232E"/>
    <w:rsid w:val="00D63250"/>
    <w:rsid w:val="00DE439D"/>
    <w:rsid w:val="0C1C40CD"/>
    <w:rsid w:val="2888E0FA"/>
    <w:rsid w:val="2C36372F"/>
    <w:rsid w:val="352CEDC8"/>
    <w:rsid w:val="352CEDC8"/>
    <w:rsid w:val="59B6CAB5"/>
    <w:rsid w:val="6D8FF857"/>
    <w:rsid w:val="70CE635B"/>
    <w:rsid w:val="73E47518"/>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47F686"/>
  <w15:chartTrackingRefBased/>
  <w15:docId w15:val="{4B38B31F-3C66-4D4E-AB0F-969AA54004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4"/>
        <w:szCs w:val="24"/>
        <w:lang w:val="pt-BR"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Fontepargpadro" w:default="1">
    <w:name w:val="Default Paragraph Font"/>
    <w:uiPriority w:val="1"/>
    <w:semiHidden/>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paragraph" w:styleId="Rodap">
    <w:name w:val="footer"/>
    <w:basedOn w:val="Normal"/>
    <w:link w:val="RodapChar"/>
    <w:uiPriority w:val="99"/>
    <w:unhideWhenUsed/>
    <w:rsid w:val="00A9232E"/>
    <w:pPr>
      <w:tabs>
        <w:tab w:val="center" w:pos="4513"/>
        <w:tab w:val="right" w:pos="9026"/>
      </w:tabs>
      <w:spacing w:after="0" w:line="240" w:lineRule="auto"/>
    </w:pPr>
  </w:style>
  <w:style w:type="character" w:styleId="RodapChar" w:customStyle="1">
    <w:name w:val="Rodapé Char"/>
    <w:basedOn w:val="Fontepargpadro"/>
    <w:link w:val="Rodap"/>
    <w:uiPriority w:val="99"/>
    <w:rsid w:val="00A9232E"/>
  </w:style>
  <w:style w:type="paragraph" w:styleId="ListParagraph">
    <w:uiPriority w:val="34"/>
    <w:name w:val="List Paragraph"/>
    <w:basedOn w:val="Normal"/>
    <w:qFormat/>
    <w:rsid w:val="0C1C40CD"/>
    <w:pPr>
      <w:spacing/>
      <w:ind w:left="720"/>
      <w:contextualSpacing/>
    </w:pPr>
  </w:style>
  <w:style w:type="paragraph" w:styleId="Header">
    <w:uiPriority w:val="99"/>
    <w:name w:val="header"/>
    <w:basedOn w:val="Normal"/>
    <w:unhideWhenUsed/>
    <w:rsid w:val="0C1C40CD"/>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ela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 Id="R0d3120fd06344bf3" Type="http://schemas.openxmlformats.org/officeDocument/2006/relationships/header" Target="header.xml"/><Relationship Id="R69431c425ee948de" Type="http://schemas.openxmlformats.org/officeDocument/2006/relationships/numbering" Target="numbering.xml"/><Relationship Id="rId11" Type="http://schemas.openxmlformats.org/officeDocument/2006/relationships/image" Target="media/image1.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_rels/header.xml.rels><?xml version='1.0' encoding='UTF-8' standalone='yes'?>
<Relationships xmlns="http://schemas.openxmlformats.org/package/2006/relationships"><Relationship Id="rId1254538903" Type="http://schemas.openxmlformats.org/officeDocument/2006/relationships/image" Target="../media/image.png"/><Relationship Id="rId47391134" Type="http://schemas.openxmlformats.org/officeDocument/2006/relationships/image" Target="../media/image2.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ca0fe36a-3a81-4cd2-a2b1-1de809777ddf}" enabled="1" method="Privileged" siteId="{8f309b91-b060-4b60-bbb5-091c51b75cfd}"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BRUNO ALEXANDRE DE CARVALHO SERMINARO</dc:creator>
  <keywords/>
  <dc:description/>
  <lastModifiedBy>BRUNO ALEXANDRE DE CARVALHO SERMINARO</lastModifiedBy>
  <revision>3</revision>
  <dcterms:created xsi:type="dcterms:W3CDTF">2026-07-27T20:46:00.0000000Z</dcterms:created>
  <dcterms:modified xsi:type="dcterms:W3CDTF">2026-07-27T21:42:00.1210355Z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639d4de9,56033d82,45f80727</vt:lpwstr>
  </property>
  <property fmtid="{D5CDD505-2E9C-101B-9397-08002B2CF9AE}" pid="3" name="ClassificationContentMarkingFooterFontProps">
    <vt:lpwstr>#000000,7,Aptos</vt:lpwstr>
  </property>
  <property fmtid="{D5CDD505-2E9C-101B-9397-08002B2CF9AE}" pid="4" name="ClassificationContentMarkingFooterText">
    <vt:lpwstr>Este conteúdo e quaisquer informações anexadas a ele são confidenciais e destinados exclusivamente para uso do indivíduo ou pela entidade a quem estão endereçados. Se você recebeu este email por enga</vt:lpwstr>
  </property>
</Properties>
</file>