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20"/>
        <w:jc w:val="center"/>
      </w:pPr>
      <w:r>
        <w:rPr>
          <w:rFonts w:ascii="Malgun Gothic" w:cs="Malgun Gothic" w:eastAsia="Malgun Gothic" w:hAnsi="Malgun Gothic"/>
          <w:color w:val="5E5E5E"/>
          <w:sz w:val="22"/>
          <w:szCs w:val="22"/>
        </w:rPr>
        <w:t xml:space="preserve">제12회 DB GAPS 투자대회</w:t>
      </w:r>
    </w:p>
    <w:p>
      <w:pPr>
        <w:spacing w:after="80"/>
        <w:jc w:val="center"/>
      </w:pPr>
      <w:r>
        <w:rPr>
          <w:rFonts w:ascii="Malgun Gothic" w:cs="Malgun Gothic" w:eastAsia="Malgun Gothic" w:hAnsi="Malgun Gothic"/>
          <w:b/>
          <w:bCs/>
          <w:color w:val="1B3A6B"/>
          <w:sz w:val="72"/>
          <w:szCs w:val="72"/>
        </w:rPr>
        <w:t xml:space="preserve">투자계획서</w:t>
      </w:r>
    </w:p>
    <w:p>
      <w:pPr>
        <w:spacing w:after="600"/>
        <w:jc w:val="center"/>
      </w:pPr>
      <w:r>
        <w:rPr>
          <w:rFonts w:ascii="Malgun Gothic" w:cs="Malgun Gothic" w:eastAsia="Malgun Gothic" w:hAnsi="Malgun Gothic"/>
          <w:i/>
          <w:iCs/>
          <w:color w:val="2E75B6"/>
          <w:sz w:val="28"/>
          <w:szCs w:val="28"/>
        </w:rPr>
        <w:t xml:space="preserve">Summer Rally를 수확하고, Jackson Hole 전에 지킨다</w:t>
      </w:r>
    </w:p>
    <w:p>
      <w:pPr>
        <w:pBdr>
          <w:top w:val="single" w:color="2E75B6" w:sz="4" w:space="1"/>
          <w:bottom w:val="single" w:color="2E75B6" w:sz="4" w:space="1"/>
        </w:pBdr>
        <w:spacing w:after="0" w:before="0" w:line="20"/>
      </w:pPr>
    </w:p>
    <w:p>
      <w:pPr>
        <w:spacing w:before="200"/>
      </w:pPr>
    </w:p>
    <w:p>
      <w:pPr>
        <w:spacing w:after="80"/>
        <w:jc w:val="center"/>
      </w:pPr>
      <w:r>
        <w:rPr>
          <w:rFonts w:ascii="Malgun Gothic" w:cs="Malgun Gothic" w:eastAsia="Malgun Gothic" w:hAnsi="Malgun Gothic"/>
          <w:color w:val="1B3A6B"/>
          <w:sz w:val="28"/>
          <w:szCs w:val="28"/>
        </w:rPr>
        <w:t xml:space="preserve">중앙대학교 최대 금융학회  RFS</w:t>
      </w:r>
    </w:p>
    <w:p>
      <w:pPr>
        <w:spacing w:after="80"/>
        <w:jc w:val="center"/>
      </w:pPr>
      <w:r>
        <w:rPr>
          <w:rFonts w:ascii="Malgun Gothic" w:cs="Malgun Gothic" w:eastAsia="Malgun Gothic" w:hAnsi="Malgun Gothic"/>
          <w:color w:val="5E5E5E"/>
          <w:sz w:val="24"/>
          <w:szCs w:val="24"/>
        </w:rPr>
        <w:t xml:space="preserve">채현기 · 심민주 · 박정훈</w:t>
      </w:r>
    </w:p>
    <w:p>
      <w:pPr>
        <w:spacing w:after="0"/>
        <w:jc w:val="center"/>
      </w:pPr>
      <w:r>
        <w:rPr>
          <w:rFonts w:ascii="Malgun Gothic" w:cs="Malgun Gothic" w:eastAsia="Malgun Gothic" w:hAnsi="Malgun Gothic"/>
          <w:color w:val="5E5E5E"/>
          <w:sz w:val="22"/>
          <w:szCs w:val="22"/>
        </w:rPr>
        <w:t xml:space="preserve">운용 기간:  2026년 6월 1일 – 2026년 8월 31일 (3개월)</w:t>
      </w:r>
    </w:p>
    <w:p>
      <w:pPr>
        <w:spacing w:after="0"/>
      </w:pPr>
      <w:r>
        <w:br w:type="page"/>
      </w:r>
    </w:p>
    <w:p>
      <w:pPr>
        <w:pStyle w:val="Heading1"/>
        <w:pBdr>
          <w:bottom w:val="single" w:color="2E75B6" w:sz="6" w:space="1"/>
        </w:pBdr>
        <w:spacing w:after="120" w:before="360"/>
      </w:pPr>
      <w:r>
        <w:rPr>
          <w:rFonts w:ascii="Malgun Gothic" w:cs="Malgun Gothic" w:eastAsia="Malgun Gothic" w:hAnsi="Malgun Gothic"/>
        </w:rPr>
        <w:t xml:space="preserve">0.  운용 기간 내 주요 이벤트 캘린더</w:t>
      </w:r>
    </w:p>
    <w:p>
      <w:pPr>
        <w:spacing w:after="40" w:before="40" w:line="320" w:lineRule="auto"/>
        <w:ind/>
      </w:pPr>
      <w:r>
        <w:rPr>
          <w:rFonts w:ascii="Malgun Gothic" w:cs="Malgun Gothic" w:eastAsia="Malgun Gothic" w:hAnsi="Malgun Gothic"/>
          <w:sz w:val="20"/>
          <w:szCs w:val="20"/>
        </w:rPr>
        <w:t xml:space="preserve">운용 기간 3개월은 시장 방향성이 두 단계로 구분된다. 6~7월 공세 구간과 8월 방어 전환 구간이다. 아래 캘린더가 전략의 핵심 골격을 결정한다.</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500"/>
        <w:gridCol w:w="4460"/>
      </w:tblGrid>
      <w:tr>
        <w:trPr>
          <w:tblHeader/>
        </w:trPr>
        <w:tc>
          <w:tcPr>
            <w:tcW w:type="dxa" w:w="1400"/>
            <w:tcBorders>
              <w:top w:val="single" w:color="BBBBBB" w:sz="1"/>
              <w:left w:val="single" w:color="BBBBBB" w:sz="1"/>
              <w:bottom w:val="single" w:color="BBBBBB" w:sz="1"/>
              <w:right w:val="single" w:color="BBBBBB" w:sz="1"/>
            </w:tcBorders>
            <w:shd w:fill="1B3A6B" w:val="clear"/>
            <w:tcMar>
              <w:top w:type="dxa" w:w="80"/>
              <w:left w:type="dxa" w:w="120"/>
              <w:bottom w:type="dxa" w:w="80"/>
              <w:right w:type="dxa" w:w="120"/>
            </w:tcMar>
            <w:vAlign w:val="center"/>
          </w:tcPr>
          <w:p>
            <w:pPr>
              <w:spacing w:after="0" w:before="0"/>
              <w:jc w:val="center"/>
            </w:pPr>
            <w:r>
              <w:rPr>
                <w:rFonts w:ascii="Malgun Gothic" w:cs="Malgun Gothic" w:eastAsia="Malgun Gothic" w:hAnsi="Malgun Gothic"/>
                <w:b/>
                <w:bCs/>
                <w:color w:val="FFFFFF"/>
                <w:sz w:val="19"/>
                <w:szCs w:val="19"/>
              </w:rPr>
              <w:t xml:space="preserve">시기</w:t>
            </w:r>
          </w:p>
        </w:tc>
        <w:tc>
          <w:tcPr>
            <w:tcW w:type="dxa" w:w="3500"/>
            <w:tcBorders>
              <w:top w:val="single" w:color="BBBBBB" w:sz="1"/>
              <w:left w:val="single" w:color="BBBBBB" w:sz="1"/>
              <w:bottom w:val="single" w:color="BBBBBB" w:sz="1"/>
              <w:right w:val="single" w:color="BBBBBB" w:sz="1"/>
            </w:tcBorders>
            <w:shd w:fill="1B3A6B" w:val="clear"/>
            <w:tcMar>
              <w:top w:type="dxa" w:w="80"/>
              <w:left w:type="dxa" w:w="120"/>
              <w:bottom w:type="dxa" w:w="80"/>
              <w:right w:type="dxa" w:w="120"/>
            </w:tcMar>
            <w:vAlign w:val="center"/>
          </w:tcPr>
          <w:p>
            <w:pPr>
              <w:spacing w:after="0" w:before="0"/>
              <w:jc w:val="center"/>
            </w:pPr>
            <w:r>
              <w:rPr>
                <w:rFonts w:ascii="Malgun Gothic" w:cs="Malgun Gothic" w:eastAsia="Malgun Gothic" w:hAnsi="Malgun Gothic"/>
                <w:b/>
                <w:bCs/>
                <w:color w:val="FFFFFF"/>
                <w:sz w:val="19"/>
                <w:szCs w:val="19"/>
              </w:rPr>
              <w:t xml:space="preserve">이벤트</w:t>
            </w:r>
          </w:p>
        </w:tc>
        <w:tc>
          <w:tcPr>
            <w:tcW w:type="dxa" w:w="4460"/>
            <w:tcBorders>
              <w:top w:val="single" w:color="BBBBBB" w:sz="1"/>
              <w:left w:val="single" w:color="BBBBBB" w:sz="1"/>
              <w:bottom w:val="single" w:color="BBBBBB" w:sz="1"/>
              <w:right w:val="single" w:color="BBBBBB" w:sz="1"/>
            </w:tcBorders>
            <w:shd w:fill="1B3A6B" w:val="clear"/>
            <w:tcMar>
              <w:top w:type="dxa" w:w="80"/>
              <w:left w:type="dxa" w:w="120"/>
              <w:bottom w:type="dxa" w:w="80"/>
              <w:right w:type="dxa" w:w="120"/>
            </w:tcMar>
            <w:vAlign w:val="center"/>
          </w:tcPr>
          <w:p>
            <w:pPr>
              <w:spacing w:after="0" w:before="0"/>
              <w:jc w:val="center"/>
            </w:pPr>
            <w:r>
              <w:rPr>
                <w:rFonts w:ascii="Malgun Gothic" w:cs="Malgun Gothic" w:eastAsia="Malgun Gothic" w:hAnsi="Malgun Gothic"/>
                <w:b/>
                <w:bCs/>
                <w:color w:val="FFFFFF"/>
                <w:sz w:val="19"/>
                <w:szCs w:val="19"/>
              </w:rPr>
              <w:t xml:space="preserve">시장 영향</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6월 초</w:t>
            </w:r>
          </w:p>
        </w:tc>
        <w:tc>
          <w:tcPr>
            <w:tcW w:type="dxa" w:w="3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운용 개시</w:t>
            </w:r>
          </w:p>
        </w:tc>
        <w:tc>
          <w:tcPr>
            <w:tcW w:type="dxa" w:w="44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KOSPI 신고가 권역, AI 모멘텀 확산</w:t>
            </w:r>
          </w:p>
        </w:tc>
      </w:tr>
      <w:tr>
        <w:tc>
          <w:tcPr>
            <w:tcW w:type="dxa" w:w="1400"/>
            <w:tcBorders>
              <w:top w:val="single" w:color="BBBBBB" w:sz="1"/>
              <w:left w:val="single" w:color="BBBBBB" w:sz="1"/>
              <w:bottom w:val="single" w:color="BBBBBB" w:sz="1"/>
              <w:right w:val="single" w:color="BBBBBB" w:sz="1"/>
            </w:tcBorders>
            <w:shd w:fill="D9E6F2" w:val="clear"/>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6월 중순</w:t>
            </w:r>
          </w:p>
        </w:tc>
        <w:tc>
          <w:tcPr>
            <w:tcW w:type="dxa" w:w="3500"/>
            <w:tcBorders>
              <w:top w:val="single" w:color="BBBBBB" w:sz="1"/>
              <w:left w:val="single" w:color="BBBBBB" w:sz="1"/>
              <w:bottom w:val="single" w:color="BBBBBB" w:sz="1"/>
              <w:right w:val="single" w:color="BBBBBB" w:sz="1"/>
            </w:tcBorders>
            <w:shd w:fill="D9E6F2" w:val="clear"/>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바젤 III 엔드게임 최종안 확정 (미국)</w:t>
            </w:r>
          </w:p>
        </w:tc>
        <w:tc>
          <w:tcPr>
            <w:tcW w:type="dxa" w:w="4460"/>
            <w:tcBorders>
              <w:top w:val="single" w:color="BBBBBB" w:sz="1"/>
              <w:left w:val="single" w:color="BBBBBB" w:sz="1"/>
              <w:bottom w:val="single" w:color="BBBBBB" w:sz="1"/>
              <w:right w:val="single" w:color="BBBBBB" w:sz="1"/>
            </w:tcBorders>
            <w:shd w:fill="D9E6F2" w:val="clear"/>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규제완화 확인 → 레버리지 투자 사이클 진입 신호</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6월 하순</w:t>
            </w:r>
          </w:p>
        </w:tc>
        <w:tc>
          <w:tcPr>
            <w:tcW w:type="dxa" w:w="3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한국 지방선거</w:t>
            </w:r>
          </w:p>
        </w:tc>
        <w:tc>
          <w:tcPr>
            <w:tcW w:type="dxa" w:w="44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국내 정책 모멘텀 확인</w:t>
            </w:r>
          </w:p>
        </w:tc>
      </w:tr>
      <w:tr>
        <w:tc>
          <w:tcPr>
            <w:tcW w:type="dxa" w:w="1400"/>
            <w:tcBorders>
              <w:top w:val="single" w:color="BBBBBB" w:sz="1"/>
              <w:left w:val="single" w:color="BBBBBB" w:sz="1"/>
              <w:bottom w:val="single" w:color="BBBBBB" w:sz="1"/>
              <w:right w:val="single" w:color="BBBBBB" w:sz="1"/>
            </w:tcBorders>
            <w:shd w:fill="D9E6F2" w:val="clear"/>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7월 초~중순</w:t>
            </w:r>
          </w:p>
        </w:tc>
        <w:tc>
          <w:tcPr>
            <w:tcW w:type="dxa" w:w="3500"/>
            <w:tcBorders>
              <w:top w:val="single" w:color="BBBBBB" w:sz="1"/>
              <w:left w:val="single" w:color="BBBBBB" w:sz="1"/>
              <w:bottom w:val="single" w:color="BBBBBB" w:sz="1"/>
              <w:right w:val="single" w:color="BBBBBB" w:sz="1"/>
            </w:tcBorders>
            <w:shd w:fill="D9E6F2" w:val="clear"/>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삼성전자·SK하이닉스 2Q 잠정실적 발표</w:t>
            </w:r>
          </w:p>
        </w:tc>
        <w:tc>
          <w:tcPr>
            <w:tcW w:type="dxa" w:w="4460"/>
            <w:tcBorders>
              <w:top w:val="single" w:color="BBBBBB" w:sz="1"/>
              <w:left w:val="single" w:color="BBBBBB" w:sz="1"/>
              <w:bottom w:val="single" w:color="BBBBBB" w:sz="1"/>
              <w:right w:val="single" w:color="BBBBBB" w:sz="1"/>
            </w:tcBorders>
            <w:shd w:fill="D9E6F2" w:val="clear"/>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최대 상승 카탈리스트 구간 (YoY +1,422% / +558% 예상)</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7월 하순</w:t>
            </w:r>
          </w:p>
        </w:tc>
        <w:tc>
          <w:tcPr>
            <w:tcW w:type="dxa" w:w="3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미국 빅테크 2Q 실적 (Capex 가이던스 주목)</w:t>
            </w:r>
          </w:p>
        </w:tc>
        <w:tc>
          <w:tcPr>
            <w:tcW w:type="dxa" w:w="44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AI 투자 사이클 지속 여부 확인</w:t>
            </w:r>
          </w:p>
        </w:tc>
      </w:tr>
      <w:tr>
        <w:tc>
          <w:tcPr>
            <w:tcW w:type="dxa" w:w="1400"/>
            <w:tcBorders>
              <w:top w:val="single" w:color="BBBBBB" w:sz="1"/>
              <w:left w:val="single" w:color="BBBBBB" w:sz="1"/>
              <w:bottom w:val="single" w:color="BBBBBB" w:sz="1"/>
              <w:right w:val="single" w:color="BBBBBB" w:sz="1"/>
            </w:tcBorders>
            <w:shd w:fill="D9E6F2" w:val="clear"/>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8월 초</w:t>
            </w:r>
          </w:p>
        </w:tc>
        <w:tc>
          <w:tcPr>
            <w:tcW w:type="dxa" w:w="3500"/>
            <w:tcBorders>
              <w:top w:val="single" w:color="BBBBBB" w:sz="1"/>
              <w:left w:val="single" w:color="BBBBBB" w:sz="1"/>
              <w:bottom w:val="single" w:color="BBBBBB" w:sz="1"/>
              <w:right w:val="single" w:color="BBBBBB" w:sz="1"/>
            </w:tcBorders>
            <w:shd w:fill="D9E6F2" w:val="clear"/>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경기선행지수 순환변동치 2Q 발표</w:t>
            </w:r>
          </w:p>
        </w:tc>
        <w:tc>
          <w:tcPr>
            <w:tcW w:type="dxa" w:w="4460"/>
            <w:tcBorders>
              <w:top w:val="single" w:color="BBBBBB" w:sz="1"/>
              <w:left w:val="single" w:color="BBBBBB" w:sz="1"/>
              <w:bottom w:val="single" w:color="BBBBBB" w:sz="1"/>
              <w:right w:val="single" w:color="BBBBBB" w:sz="1"/>
            </w:tcBorders>
            <w:shd w:fill="D9E6F2" w:val="clear"/>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피크아웃 신호 여부 확인 (현재 103.5, IT버블 직전 105.2)</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8월 중순</w:t>
            </w:r>
          </w:p>
        </w:tc>
        <w:tc>
          <w:tcPr>
            <w:tcW w:type="dxa" w:w="3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OECD 경기선행지수 6월 수치 발표</w:t>
            </w:r>
          </w:p>
        </w:tc>
        <w:tc>
          <w:tcPr>
            <w:tcW w:type="dxa" w:w="44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글로벌 경기 모멘텀 변곡점 점검</w:t>
            </w:r>
          </w:p>
        </w:tc>
      </w:tr>
      <w:tr>
        <w:tc>
          <w:tcPr>
            <w:tcW w:type="dxa" w:w="1400"/>
            <w:tcBorders>
              <w:top w:val="single" w:color="BBBBBB" w:sz="1"/>
              <w:left w:val="single" w:color="BBBBBB" w:sz="1"/>
              <w:bottom w:val="single" w:color="BBBBBB" w:sz="1"/>
              <w:right w:val="single" w:color="BBBBBB" w:sz="1"/>
            </w:tcBorders>
            <w:shd w:fill="D9E6F2" w:val="clear"/>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8월 말</w:t>
            </w:r>
          </w:p>
        </w:tc>
        <w:tc>
          <w:tcPr>
            <w:tcW w:type="dxa" w:w="3500"/>
            <w:tcBorders>
              <w:top w:val="single" w:color="BBBBBB" w:sz="1"/>
              <w:left w:val="single" w:color="BBBBBB" w:sz="1"/>
              <w:bottom w:val="single" w:color="BBBBBB" w:sz="1"/>
              <w:right w:val="single" w:color="BBBBBB" w:sz="1"/>
            </w:tcBorders>
            <w:shd w:fill="D9E6F2" w:val="clear"/>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잭슨홀 미팅 (케빈 워시 연준 의장)</w:t>
            </w:r>
          </w:p>
        </w:tc>
        <w:tc>
          <w:tcPr>
            <w:tcW w:type="dxa" w:w="4460"/>
            <w:tcBorders>
              <w:top w:val="single" w:color="BBBBBB" w:sz="1"/>
              <w:left w:val="single" w:color="BBBBBB" w:sz="1"/>
              <w:bottom w:val="single" w:color="BBBBBB" w:sz="1"/>
              <w:right w:val="single" w:color="BBBBBB" w:sz="1"/>
            </w:tcBorders>
            <w:shd w:fill="D9E6F2" w:val="clear"/>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27년 금리인상 힌트 → 최대 리스크 이벤트 ⚠</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8월 31일</w:t>
            </w:r>
          </w:p>
        </w:tc>
        <w:tc>
          <w:tcPr>
            <w:tcW w:type="dxa" w:w="3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운용 종료</w:t>
            </w:r>
          </w:p>
        </w:tc>
        <w:tc>
          <w:tcPr>
            <w:tcW w:type="dxa" w:w="44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포지션 정리 완료</w:t>
            </w:r>
          </w:p>
        </w:tc>
      </w:tr>
    </w:tbl>
    <w:p>
      <w:pPr>
        <w:spacing w:after="120" w:before="30"/>
        <w:jc w:val="center"/>
      </w:pPr>
      <w:r>
        <w:rPr>
          <w:rFonts w:ascii="Malgun Gothic" w:cs="Malgun Gothic" w:eastAsia="Malgun Gothic" w:hAnsi="Malgun Gothic"/>
          <w:i/>
          <w:iCs/>
          <w:color w:val="5E5E5E"/>
          <w:sz w:val="16"/>
          <w:szCs w:val="16"/>
        </w:rPr>
        <w:t xml:space="preserve">출처: RFS 자체 분석</w:t>
      </w:r>
    </w:p>
    <w:p>
      <w:pPr>
        <w:spacing w:before="60"/>
      </w:pPr>
    </w:p>
    <w:p>
      <w:pPr>
        <w:spacing w:after="40" w:before="40" w:line="320" w:lineRule="auto"/>
        <w:ind/>
      </w:pPr>
      <w:r>
        <w:rPr>
          <w:rFonts w:ascii="Malgun Gothic" w:cs="Malgun Gothic" w:eastAsia="Malgun Gothic" w:hAnsi="Malgun Gothic"/>
          <w:b/>
          <w:bCs/>
          <w:color w:val="1B3A6B"/>
          <w:sz w:val="20"/>
          <w:szCs w:val="20"/>
        </w:rPr>
        <w:t xml:space="preserve">→  6~7월 공세적 비중 확대 (Phase 1) / 8월 단계적 수익 실현 및 방어 전환 (Phase 2)</w:t>
      </w:r>
    </w:p>
    <w:p>
      <w:pPr>
        <w:spacing w:after="0"/>
      </w:pPr>
      <w:r>
        <w:br w:type="page"/>
      </w:r>
    </w:p>
    <w:p>
      <w:pPr>
        <w:pStyle w:val="Heading1"/>
        <w:pBdr>
          <w:bottom w:val="single" w:color="2E75B6" w:sz="6" w:space="1"/>
        </w:pBdr>
        <w:spacing w:after="120" w:before="360"/>
      </w:pPr>
      <w:r>
        <w:rPr>
          <w:rFonts w:ascii="Malgun Gothic" w:cs="Malgun Gothic" w:eastAsia="Malgun Gothic" w:hAnsi="Malgun Gothic"/>
        </w:rPr>
        <w:t xml:space="preserve">1.  투자철학</w:t>
      </w:r>
    </w:p>
    <w:p>
      <w:pPr>
        <w:spacing w:after="120" w:before="80"/>
      </w:pPr>
      <w:r>
        <w:rPr>
          <w:rFonts w:ascii="Malgun Gothic" w:cs="Malgun Gothic" w:eastAsia="Malgun Gothic" w:hAnsi="Malgun Gothic"/>
          <w:b/>
          <w:bCs/>
          <w:color w:val="1B3A6B"/>
          <w:sz w:val="22"/>
          <w:szCs w:val="22"/>
        </w:rPr>
        <w:t xml:space="preserve">핵심 원칙: "Summer Rally를 최대한 수확하고, 8월 잭슨홀 전에 지킨다"</w:t>
      </w:r>
    </w:p>
    <w:p>
      <w:pPr>
        <w:pStyle w:val="Heading2"/>
        <w:spacing w:after="80" w:before="240"/>
      </w:pPr>
      <w:r>
        <w:rPr>
          <w:rFonts w:ascii="Malgun Gothic" w:cs="Malgun Gothic" w:eastAsia="Malgun Gothic" w:hAnsi="Malgun Gothic"/>
        </w:rPr>
        <w:t xml:space="preserve">① 매크로 탑다운 기반의 이익 모멘텀 투자</w:t>
      </w:r>
    </w:p>
    <w:p>
      <w:pPr>
        <w:spacing w:after="40" w:before="40" w:line="320" w:lineRule="auto"/>
        <w:ind/>
      </w:pPr>
      <w:r>
        <w:rPr>
          <w:rFonts w:ascii="Malgun Gothic" w:cs="Malgun Gothic" w:eastAsia="Malgun Gothic" w:hAnsi="Malgun Gothic"/>
          <w:sz w:val="20"/>
          <w:szCs w:val="20"/>
        </w:rPr>
        <w:t xml:space="preserve">주가는 결국 기업이익을 따라간다. 밸류에이션보다 이익의 방향성과 지속 가능성이 우선이다. 경기선행지수, 수출 증가율, PPI 사이클을 1차 스크리닝 변수로 활용하며, 운용 기간 내에서는 삼성전자·SK하이닉스의 2Q 잠정실적과 미국 빅테크 Capex 가이던스가 핵심 모멘텀 지표다.</w:t>
      </w:r>
    </w:p>
    <w:p>
      <w:pPr>
        <w:spacing w:before="40"/>
      </w:pPr>
    </w:p>
    <w:p>
      <w:pPr>
        <w:spacing w:after="40" w:before="40" w:line="320" w:lineRule="auto"/>
        <w:ind/>
      </w:pPr>
      <w:r>
        <w:rPr>
          <w:rFonts w:ascii="Malgun Gothic" w:cs="Malgun Gothic" w:eastAsia="Malgun Gothic" w:hAnsi="Malgun Gothic"/>
          <w:color w:val="006F7F"/>
          <w:sz w:val="20"/>
          <w:szCs w:val="20"/>
        </w:rPr>
        <w:t xml:space="preserve">하나증권(2026.05.08)에 따르면 AI 관련 투자는 2025년 미국 GDP 성장률(2.5%) 중 0.97%p를 기여했으며, 이는 2000년 닷컴버블 당시 IT 투자 기여도(0.81%p)를 능가하는 수준이다. 미국 5대 하이퍼스케일러의 자본지출도 가파른 확장세를 이어가고 있어 반도체 수출 비중이 높은 한국 경제가 직접적 수혜를 입을 것으로 전망된다.</w:t>
      </w:r>
    </w:p>
    <w:p>
      <w:pPr>
        <w:pStyle w:val="Heading2"/>
        <w:spacing w:after="80" w:before="240"/>
      </w:pPr>
      <w:r>
        <w:rPr>
          <w:rFonts w:ascii="Malgun Gothic" w:cs="Malgun Gothic" w:eastAsia="Malgun Gothic" w:hAnsi="Malgun Gothic"/>
        </w:rPr>
        <w:t xml:space="preserve">② 사이클 인식과 시간 가중 전략 (Time-Weighted Positioning)</w:t>
      </w:r>
    </w:p>
    <w:p>
      <w:pPr>
        <w:spacing w:after="40" w:before="40" w:line="320" w:lineRule="auto"/>
        <w:ind/>
      </w:pPr>
      <w:r>
        <w:rPr>
          <w:rFonts w:ascii="Malgun Gothic" w:cs="Malgun Gothic" w:eastAsia="Malgun Gothic" w:hAnsi="Malgun Gothic"/>
          <w:sz w:val="20"/>
          <w:szCs w:val="20"/>
        </w:rPr>
        <w:t xml:space="preserve">현재 시장은 Cash 기반에서 Debt 기반의 레버리지 투자 사이클 전환 초입에 있다. 케빈 워시 체제의 규제완화(바젤 III 엔드게임 무력화, SLR 완화)와 금리인하 기대가 핵심 동력이다. 그러나 운용 기간이 8월 31일로 한정되어 있어, OECD 경기선행지수 피크아웃 신호와 잭슨홀 미팅(8월 말)을 전후로 6~7월 수익을 극대화하고 8월에 방어 전환하는 시간 가중 전략을 채택한다.</w:t>
      </w:r>
    </w:p>
    <w:p>
      <w:pPr>
        <w:spacing w:before="40"/>
      </w:pPr>
    </w:p>
    <w:p>
      <w:pPr>
        <w:spacing w:after="40" w:before="40" w:line="320" w:lineRule="auto"/>
        <w:ind/>
      </w:pPr>
      <w:r>
        <w:rPr>
          <w:rFonts w:ascii="Malgun Gothic" w:cs="Malgun Gothic" w:eastAsia="Malgun Gothic" w:hAnsi="Malgun Gothic"/>
          <w:color w:val="006F7F"/>
          <w:sz w:val="20"/>
          <w:szCs w:val="20"/>
        </w:rPr>
        <w:t xml:space="preserve">하나증권은 2026년 연준이 10월 25bp 금리인하 1회를 단행 후 인하 사이클을 올해로 종료할 것으로 전망한다. ECB는 연내 1회 인상, BOJ는 6월부터 연내 2회 인상을 예상하고 있어, 글로벌 금리 환경은 국가별로 차별화될 것이다.</w:t>
      </w:r>
    </w:p>
    <w:p>
      <w:pPr>
        <w:pStyle w:val="Heading2"/>
        <w:spacing w:after="80" w:before="240"/>
      </w:pPr>
      <w:r>
        <w:rPr>
          <w:rFonts w:ascii="Malgun Gothic" w:cs="Malgun Gothic" w:eastAsia="Malgun Gothic" w:hAnsi="Malgun Gothic"/>
        </w:rPr>
        <w:t xml:space="preserve">③ 닷컴 버블 경험의 활용: AI 인프라 &gt; AI 애플리케이션</w:t>
      </w:r>
    </w:p>
    <w:p>
      <w:pPr>
        <w:spacing w:after="40" w:before="40" w:line="320" w:lineRule="auto"/>
        <w:ind/>
      </w:pPr>
      <w:r>
        <w:rPr>
          <w:rFonts w:ascii="Malgun Gothic" w:cs="Malgun Gothic" w:eastAsia="Malgun Gothic" w:hAnsi="Malgun Gothic"/>
          <w:sz w:val="20"/>
          <w:szCs w:val="20"/>
        </w:rPr>
        <w:t xml:space="preserve">닷컴버블 당시 인프라 생존율(95%) vs 애플리케이션 생존율(5%)의 교훈을 반영한다. 운용 기간 내에서는 AI 인프라(반도체·전력망·광통신)에 집중하고 애플리케이션·SaaS 영역은 배제한다. 삼성전자·SK하이닉스보다 소부장을 선호하는 이유도 동일한 맥락이다.</w:t>
      </w:r>
    </w:p>
    <w:p>
      <w:pPr>
        <w:spacing w:after="0"/>
      </w:pPr>
      <w:r>
        <w:br w:type="page"/>
      </w:r>
    </w:p>
    <w:p>
      <w:pPr>
        <w:pStyle w:val="Heading1"/>
        <w:pBdr>
          <w:bottom w:val="single" w:color="2E75B6" w:sz="6" w:space="1"/>
        </w:pBdr>
        <w:spacing w:after="120" w:before="360"/>
      </w:pPr>
      <w:r>
        <w:rPr>
          <w:rFonts w:ascii="Malgun Gothic" w:cs="Malgun Gothic" w:eastAsia="Malgun Gothic" w:hAnsi="Malgun Gothic"/>
        </w:rPr>
        <w:t xml:space="preserve">2.  자산군별 시장전망</w:t>
      </w:r>
    </w:p>
    <w:p>
      <w:pPr>
        <w:pStyle w:val="Heading2"/>
        <w:spacing w:after="80" w:before="240"/>
      </w:pPr>
      <w:r>
        <w:rPr>
          <w:rFonts w:ascii="Malgun Gothic" w:cs="Malgun Gothic" w:eastAsia="Malgun Gothic" w:hAnsi="Malgun Gothic"/>
        </w:rPr>
        <w:t xml:space="preserve">a. 위험자산</w:t>
      </w:r>
    </w:p>
    <w:p>
      <w:pPr>
        <w:pBdr>
          <w:left w:val="single" w:color="2E75B6" w:sz="10" w:space="4"/>
        </w:pBdr>
        <w:spacing w:after="60" w:before="180"/>
        <w:ind w:left="200"/>
      </w:pPr>
      <w:r>
        <w:rPr>
          <w:rFonts w:ascii="Malgun Gothic" w:cs="Malgun Gothic" w:eastAsia="Malgun Gothic" w:hAnsi="Malgun Gothic"/>
          <w:b/>
          <w:bCs/>
          <w:color w:val="1B3A6B"/>
          <w:sz w:val="22"/>
          <w:szCs w:val="22"/>
        </w:rPr>
        <w:t xml:space="preserve">1) 국내주식</w:t>
      </w:r>
    </w:p>
    <w:p>
      <w:pPr>
        <w:spacing w:after="40" w:before="40" w:line="320" w:lineRule="auto"/>
        <w:ind/>
      </w:pPr>
      <w:r>
        <w:rPr>
          <w:rFonts w:ascii="Malgun Gothic" w:cs="Malgun Gothic" w:eastAsia="Malgun Gothic" w:hAnsi="Malgun Gothic"/>
          <w:sz w:val="20"/>
          <w:szCs w:val="20"/>
        </w:rPr>
        <w:t xml:space="preserve">코스피는 현재 신고가 권역에서 운용 중이다. AI 모멘텀이 반도체를 넘어 2차전지(ESS), 지주사, 자동차(피지컬 AI), 산업재(로봇·원전), 비반도체 IT(기판·광통신), 전력기기·전선 등으로 확산되고 있다. 26년 1분기 GDP YoY +3.6% 서프라이즈, 반도체 수출 YoY +160% 급증, KOSPI 12M Fwd ROE 23%가 지수를 지지한다.</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BBBBBB" w:sz="1"/>
              <w:left w:val="single" w:color="BBBBBB" w:sz="1"/>
              <w:bottom w:val="single" w:color="BBBBBB" w:sz="1"/>
              <w:right w:val="single" w:color="BBBBBB" w:sz="1"/>
            </w:tcBorders>
            <w:shd w:fill="1B3A6B" w:val="clear"/>
            <w:tcMar>
              <w:top w:type="dxa" w:w="80"/>
              <w:left w:type="dxa" w:w="120"/>
              <w:bottom w:type="dxa" w:w="80"/>
              <w:right w:type="dxa" w:w="120"/>
            </w:tcMar>
            <w:vAlign w:val="center"/>
          </w:tcPr>
          <w:p>
            <w:pPr>
              <w:spacing w:after="0" w:before="0"/>
              <w:jc w:val="center"/>
            </w:pPr>
            <w:r>
              <w:rPr>
                <w:rFonts w:ascii="Malgun Gothic" w:cs="Malgun Gothic" w:eastAsia="Malgun Gothic" w:hAnsi="Malgun Gothic"/>
                <w:b/>
                <w:bCs/>
                <w:color w:val="FFFFFF"/>
                <w:sz w:val="19"/>
                <w:szCs w:val="19"/>
              </w:rPr>
              <w:t xml:space="preserve">구간</w:t>
            </w:r>
          </w:p>
        </w:tc>
        <w:tc>
          <w:tcPr>
            <w:tcW w:type="dxa" w:w="3780"/>
            <w:tcBorders>
              <w:top w:val="single" w:color="BBBBBB" w:sz="1"/>
              <w:left w:val="single" w:color="BBBBBB" w:sz="1"/>
              <w:bottom w:val="single" w:color="BBBBBB" w:sz="1"/>
              <w:right w:val="single" w:color="BBBBBB" w:sz="1"/>
            </w:tcBorders>
            <w:shd w:fill="1B3A6B" w:val="clear"/>
            <w:tcMar>
              <w:top w:type="dxa" w:w="80"/>
              <w:left w:type="dxa" w:w="120"/>
              <w:bottom w:type="dxa" w:w="80"/>
              <w:right w:type="dxa" w:w="120"/>
            </w:tcMar>
            <w:vAlign w:val="center"/>
          </w:tcPr>
          <w:p>
            <w:pPr>
              <w:spacing w:after="0" w:before="0"/>
              <w:jc w:val="center"/>
            </w:pPr>
            <w:r>
              <w:rPr>
                <w:rFonts w:ascii="Malgun Gothic" w:cs="Malgun Gothic" w:eastAsia="Malgun Gothic" w:hAnsi="Malgun Gothic"/>
                <w:b/>
                <w:bCs/>
                <w:color w:val="FFFFFF"/>
                <w:sz w:val="19"/>
                <w:szCs w:val="19"/>
              </w:rPr>
              <w:t xml:space="preserve">전망</w:t>
            </w:r>
          </w:p>
        </w:tc>
        <w:tc>
          <w:tcPr>
            <w:tcW w:type="dxa" w:w="3780"/>
            <w:tcBorders>
              <w:top w:val="single" w:color="BBBBBB" w:sz="1"/>
              <w:left w:val="single" w:color="BBBBBB" w:sz="1"/>
              <w:bottom w:val="single" w:color="BBBBBB" w:sz="1"/>
              <w:right w:val="single" w:color="BBBBBB" w:sz="1"/>
            </w:tcBorders>
            <w:shd w:fill="1B3A6B" w:val="clear"/>
            <w:tcMar>
              <w:top w:type="dxa" w:w="80"/>
              <w:left w:type="dxa" w:w="120"/>
              <w:bottom w:type="dxa" w:w="80"/>
              <w:right w:type="dxa" w:w="120"/>
            </w:tcMar>
            <w:vAlign w:val="center"/>
          </w:tcPr>
          <w:p>
            <w:pPr>
              <w:spacing w:after="0" w:before="0"/>
              <w:jc w:val="center"/>
            </w:pPr>
            <w:r>
              <w:rPr>
                <w:rFonts w:ascii="Malgun Gothic" w:cs="Malgun Gothic" w:eastAsia="Malgun Gothic" w:hAnsi="Malgun Gothic"/>
                <w:b/>
                <w:bCs/>
                <w:color w:val="FFFFFF"/>
                <w:sz w:val="19"/>
                <w:szCs w:val="19"/>
              </w:rPr>
              <w:t xml:space="preserve">핵심 변수</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6~7월 (상승)</w:t>
            </w:r>
          </w:p>
        </w:tc>
        <w:tc>
          <w:tcPr>
            <w:tcW w:type="dxa" w:w="378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코스피 목표 밴드 6,500~9,000pt (중간값 8,000pt)</w:t>
            </w:r>
          </w:p>
        </w:tc>
        <w:tc>
          <w:tcPr>
            <w:tcW w:type="dxa" w:w="378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삼성전자 +1,422% / SK하이닉스 +558% 어닝 서프라이즈, AI 모멘텀 확산</w:t>
            </w:r>
          </w:p>
        </w:tc>
      </w:tr>
      <w:tr>
        <w:tc>
          <w:tcPr>
            <w:tcW w:type="dxa" w:w="1800"/>
            <w:tcBorders>
              <w:top w:val="single" w:color="BBBBBB" w:sz="1"/>
              <w:left w:val="single" w:color="BBBBBB" w:sz="1"/>
              <w:bottom w:val="single" w:color="BBBBBB" w:sz="1"/>
              <w:right w:val="single" w:color="BBBBBB" w:sz="1"/>
            </w:tcBorders>
            <w:shd w:fill="D9E6F2" w:val="clear"/>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8월 (경계)</w:t>
            </w:r>
          </w:p>
        </w:tc>
        <w:tc>
          <w:tcPr>
            <w:tcW w:type="dxa" w:w="3780"/>
            <w:tcBorders>
              <w:top w:val="single" w:color="BBBBBB" w:sz="1"/>
              <w:left w:val="single" w:color="BBBBBB" w:sz="1"/>
              <w:bottom w:val="single" w:color="BBBBBB" w:sz="1"/>
              <w:right w:val="single" w:color="BBBBBB" w:sz="1"/>
            </w:tcBorders>
            <w:shd w:fill="D9E6F2" w:val="clear"/>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경계 신호 4가지 동시 주시</w:t>
            </w:r>
          </w:p>
        </w:tc>
        <w:tc>
          <w:tcPr>
            <w:tcW w:type="dxa" w:w="3780"/>
            <w:tcBorders>
              <w:top w:val="single" w:color="BBBBBB" w:sz="1"/>
              <w:left w:val="single" w:color="BBBBBB" w:sz="1"/>
              <w:bottom w:val="single" w:color="BBBBBB" w:sz="1"/>
              <w:right w:val="single" w:color="BBBBBB" w:sz="1"/>
            </w:tcBorders>
            <w:shd w:fill="D9E6F2" w:val="clear"/>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① 경기선행지수 피크아웃 ② OECD CLI 변곡 ③ 반도체 수출 기저 약화 ④ 잭슨홀 매파 발언</w:t>
            </w:r>
          </w:p>
        </w:tc>
      </w:tr>
    </w:tbl>
    <w:p>
      <w:pPr>
        <w:spacing w:after="120" w:before="30"/>
        <w:jc w:val="center"/>
      </w:pPr>
      <w:r>
        <w:rPr>
          <w:rFonts w:ascii="Malgun Gothic" w:cs="Malgun Gothic" w:eastAsia="Malgun Gothic" w:hAnsi="Malgun Gothic"/>
          <w:i/>
          <w:iCs/>
          <w:color w:val="5E5E5E"/>
          <w:sz w:val="16"/>
          <w:szCs w:val="16"/>
        </w:rPr>
        <w:t xml:space="preserve">출처: 한투증권, LS증권, RFS 분석</w:t>
      </w:r>
    </w:p>
    <w:p>
      <w:pPr>
        <w:spacing w:before="60"/>
      </w:pPr>
    </w:p>
    <w:p>
      <w:pPr>
        <w:spacing w:after="40" w:before="40" w:line="320" w:lineRule="auto"/>
        <w:ind/>
      </w:pPr>
      <w:r>
        <w:rPr>
          <w:rFonts w:ascii="Malgun Gothic" w:cs="Malgun Gothic" w:eastAsia="Malgun Gothic" w:hAnsi="Malgun Gothic"/>
          <w:color w:val="006F7F"/>
          <w:sz w:val="20"/>
          <w:szCs w:val="20"/>
        </w:rPr>
        <w:t xml:space="preserve">하나증권은 한국 2026년 연간 성장률을 2.4%로 전망하며, 반도체 수출 호조와 정부 추경(26.2조원)이 성장을 지탱할 것으로 분석한다. 다만 성장 경로는 상고하저로, 호르무즈 해협 개방 이후 원유 수입 급증으로 순수출 기여도가 하반기에 약화될 소지가 있다.</w:t>
      </w:r>
    </w:p>
    <w:p>
      <w:pPr>
        <w:spacing w:before="80"/>
      </w:pPr>
    </w:p>
    <w:p>
      <w:pPr>
        <w:pBdr>
          <w:left w:val="single" w:color="2E75B6" w:sz="10" w:space="4"/>
        </w:pBdr>
        <w:spacing w:after="60" w:before="180"/>
        <w:ind w:left="200"/>
      </w:pPr>
      <w:r>
        <w:rPr>
          <w:rFonts w:ascii="Malgun Gothic" w:cs="Malgun Gothic" w:eastAsia="Malgun Gothic" w:hAnsi="Malgun Gothic"/>
          <w:b/>
          <w:bCs/>
          <w:color w:val="1B3A6B"/>
          <w:sz w:val="22"/>
          <w:szCs w:val="22"/>
        </w:rPr>
        <w:t xml:space="preserve">2) 해외주식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rPr>
          <w:tblHeader/>
        </w:trPr>
        <w:tc>
          <w:tcPr>
            <w:tcW w:type="dxa" w:w="1200"/>
            <w:tcBorders>
              <w:top w:val="single" w:color="BBBBBB" w:sz="1"/>
              <w:left w:val="single" w:color="BBBBBB" w:sz="1"/>
              <w:bottom w:val="single" w:color="BBBBBB" w:sz="1"/>
              <w:right w:val="single" w:color="BBBBBB" w:sz="1"/>
            </w:tcBorders>
            <w:shd w:fill="1B3A6B" w:val="clear"/>
            <w:tcMar>
              <w:top w:type="dxa" w:w="80"/>
              <w:left w:type="dxa" w:w="120"/>
              <w:bottom w:type="dxa" w:w="80"/>
              <w:right w:type="dxa" w:w="120"/>
            </w:tcMar>
            <w:vAlign w:val="center"/>
          </w:tcPr>
          <w:p>
            <w:pPr>
              <w:spacing w:after="0" w:before="0"/>
              <w:jc w:val="center"/>
            </w:pPr>
            <w:r>
              <w:rPr>
                <w:rFonts w:ascii="Malgun Gothic" w:cs="Malgun Gothic" w:eastAsia="Malgun Gothic" w:hAnsi="Malgun Gothic"/>
                <w:b/>
                <w:bCs/>
                <w:color w:val="FFFFFF"/>
                <w:sz w:val="19"/>
                <w:szCs w:val="19"/>
              </w:rPr>
              <w:t xml:space="preserve"/>
            </w:r>
          </w:p>
        </w:tc>
        <w:tc>
          <w:tcPr>
            <w:tcW w:type="dxa" w:w="4080"/>
            <w:tcBorders>
              <w:top w:val="single" w:color="BBBBBB" w:sz="1"/>
              <w:left w:val="single" w:color="BBBBBB" w:sz="1"/>
              <w:bottom w:val="single" w:color="BBBBBB" w:sz="1"/>
              <w:right w:val="single" w:color="BBBBBB" w:sz="1"/>
            </w:tcBorders>
            <w:shd w:fill="1B3A6B" w:val="clear"/>
            <w:tcMar>
              <w:top w:type="dxa" w:w="80"/>
              <w:left w:type="dxa" w:w="120"/>
              <w:bottom w:type="dxa" w:w="80"/>
              <w:right w:type="dxa" w:w="120"/>
            </w:tcMar>
            <w:vAlign w:val="center"/>
          </w:tcPr>
          <w:p>
            <w:pPr>
              <w:spacing w:after="0" w:before="0"/>
              <w:jc w:val="center"/>
            </w:pPr>
            <w:r>
              <w:rPr>
                <w:rFonts w:ascii="Malgun Gothic" w:cs="Malgun Gothic" w:eastAsia="Malgun Gothic" w:hAnsi="Malgun Gothic"/>
                <w:b/>
                <w:bCs/>
                <w:color w:val="FFFFFF"/>
                <w:sz w:val="19"/>
                <w:szCs w:val="19"/>
              </w:rPr>
              <w:t xml:space="preserve">미국 (S&amp;P500)</w:t>
            </w:r>
          </w:p>
        </w:tc>
        <w:tc>
          <w:tcPr>
            <w:tcW w:type="dxa" w:w="4080"/>
            <w:tcBorders>
              <w:top w:val="single" w:color="BBBBBB" w:sz="1"/>
              <w:left w:val="single" w:color="BBBBBB" w:sz="1"/>
              <w:bottom w:val="single" w:color="BBBBBB" w:sz="1"/>
              <w:right w:val="single" w:color="BBBBBB" w:sz="1"/>
            </w:tcBorders>
            <w:shd w:fill="1B3A6B" w:val="clear"/>
            <w:tcMar>
              <w:top w:type="dxa" w:w="80"/>
              <w:left w:type="dxa" w:w="120"/>
              <w:bottom w:type="dxa" w:w="80"/>
              <w:right w:type="dxa" w:w="120"/>
            </w:tcMar>
            <w:vAlign w:val="center"/>
          </w:tcPr>
          <w:p>
            <w:pPr>
              <w:spacing w:after="0" w:before="0"/>
              <w:jc w:val="center"/>
            </w:pPr>
            <w:r>
              <w:rPr>
                <w:rFonts w:ascii="Malgun Gothic" w:cs="Malgun Gothic" w:eastAsia="Malgun Gothic" w:hAnsi="Malgun Gothic"/>
                <w:b/>
                <w:bCs/>
                <w:color w:val="FFFFFF"/>
                <w:sz w:val="19"/>
                <w:szCs w:val="19"/>
              </w:rPr>
              <w:t xml:space="preserve">중국 (CSI300 / Star50)</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현황</w:t>
            </w:r>
          </w:p>
        </w:tc>
        <w:tc>
          <w:tcPr>
            <w:tcW w:type="dxa" w:w="408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빅테크 Capex YoY +82% 확인. 알파벳·아마존 신고가 경신</w:t>
            </w:r>
          </w:p>
        </w:tc>
        <w:tc>
          <w:tcPr>
            <w:tcW w:type="dxa" w:w="408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PPI 41개월 만에 플러스 전환. 주택시장 4년 만에 자발적 회복</w:t>
            </w:r>
          </w:p>
        </w:tc>
      </w:tr>
      <w:tr>
        <w:tc>
          <w:tcPr>
            <w:tcW w:type="dxa" w:w="1200"/>
            <w:tcBorders>
              <w:top w:val="single" w:color="BBBBBB" w:sz="1"/>
              <w:left w:val="single" w:color="BBBBBB" w:sz="1"/>
              <w:bottom w:val="single" w:color="BBBBBB" w:sz="1"/>
              <w:right w:val="single" w:color="BBBBBB" w:sz="1"/>
            </w:tcBorders>
            <w:shd w:fill="D9E6F2" w:val="clear"/>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전망</w:t>
            </w:r>
          </w:p>
        </w:tc>
        <w:tc>
          <w:tcPr>
            <w:tcW w:type="dxa" w:w="4080"/>
            <w:tcBorders>
              <w:top w:val="single" w:color="BBBBBB" w:sz="1"/>
              <w:left w:val="single" w:color="BBBBBB" w:sz="1"/>
              <w:bottom w:val="single" w:color="BBBBBB" w:sz="1"/>
              <w:right w:val="single" w:color="BBBBBB" w:sz="1"/>
            </w:tcBorders>
            <w:shd w:fill="D9E6F2" w:val="clear"/>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S&amp;P500 밴드 6,700~8,300pt. Capex 가이던스 유지 시 추가 상승</w:t>
            </w:r>
          </w:p>
        </w:tc>
        <w:tc>
          <w:tcPr>
            <w:tcW w:type="dxa" w:w="4080"/>
            <w:tcBorders>
              <w:top w:val="single" w:color="BBBBBB" w:sz="1"/>
              <w:left w:val="single" w:color="BBBBBB" w:sz="1"/>
              <w:bottom w:val="single" w:color="BBBBBB" w:sz="1"/>
              <w:right w:val="single" w:color="BBBBBB" w:sz="1"/>
            </w:tcBorders>
            <w:shd w:fill="D9E6F2" w:val="clear"/>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CSI300 밴드 4,250~5,600pt. 6~8월 실적 장세 가속. 연중 신고가 경신 예상</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집중 테마</w:t>
            </w:r>
          </w:p>
        </w:tc>
        <w:tc>
          <w:tcPr>
            <w:tcW w:type="dxa" w:w="408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S.I.S.O (반도체 인프라·산업자동화·우주·온디바이스)</w:t>
            </w:r>
          </w:p>
        </w:tc>
        <w:tc>
          <w:tcPr>
            <w:tcW w:type="dxa" w:w="408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반내권 시클리컬(철강·화학·비철) 7 : 테크(AI응용) 3 비중</w:t>
            </w:r>
          </w:p>
        </w:tc>
      </w:tr>
      <w:tr>
        <w:tc>
          <w:tcPr>
            <w:tcW w:type="dxa" w:w="1200"/>
            <w:tcBorders>
              <w:top w:val="single" w:color="BBBBBB" w:sz="1"/>
              <w:left w:val="single" w:color="BBBBBB" w:sz="1"/>
              <w:bottom w:val="single" w:color="BBBBBB" w:sz="1"/>
              <w:right w:val="single" w:color="BBBBBB" w:sz="1"/>
            </w:tcBorders>
            <w:shd w:fill="D9E6F2" w:val="clear"/>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Phase 2</w:t>
            </w:r>
          </w:p>
        </w:tc>
        <w:tc>
          <w:tcPr>
            <w:tcW w:type="dxa" w:w="4080"/>
            <w:tcBorders>
              <w:top w:val="single" w:color="BBBBBB" w:sz="1"/>
              <w:left w:val="single" w:color="BBBBBB" w:sz="1"/>
              <w:bottom w:val="single" w:color="BBBBBB" w:sz="1"/>
              <w:right w:val="single" w:color="BBBBBB" w:sz="1"/>
            </w:tcBorders>
            <w:shd w:fill="D9E6F2" w:val="clear"/>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인프라/산업자동화 위주 압축. 27년 Capex 둔화 우려 선반영 주의</w:t>
            </w:r>
          </w:p>
        </w:tc>
        <w:tc>
          <w:tcPr>
            <w:tcW w:type="dxa" w:w="4080"/>
            <w:tcBorders>
              <w:top w:val="single" w:color="BBBBBB" w:sz="1"/>
              <w:left w:val="single" w:color="BBBBBB" w:sz="1"/>
              <w:bottom w:val="single" w:color="BBBBBB" w:sz="1"/>
              <w:right w:val="single" w:color="BBBBBB" w:sz="1"/>
            </w:tcBorders>
            <w:shd w:fill="D9E6F2" w:val="clear"/>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12% 비중 유지. 한국·미국 대비 매크로 리스크 상대적으로 낮음</w:t>
            </w:r>
          </w:p>
        </w:tc>
      </w:tr>
    </w:tbl>
    <w:p>
      <w:pPr>
        <w:spacing w:after="120" w:before="30"/>
        <w:jc w:val="center"/>
      </w:pPr>
      <w:r>
        <w:rPr>
          <w:rFonts w:ascii="Malgun Gothic" w:cs="Malgun Gothic" w:eastAsia="Malgun Gothic" w:hAnsi="Malgun Gothic"/>
          <w:i/>
          <w:iCs/>
          <w:color w:val="5E5E5E"/>
          <w:sz w:val="16"/>
          <w:szCs w:val="16"/>
        </w:rPr>
        <w:t xml:space="preserve">출처: 하나증권, 한투증권, RFS 분석</w:t>
      </w:r>
    </w:p>
    <w:p>
      <w:pPr>
        <w:spacing w:before="60"/>
      </w:pPr>
    </w:p>
    <w:p>
      <w:pPr>
        <w:spacing w:after="40" w:before="40" w:line="320" w:lineRule="auto"/>
        <w:ind/>
      </w:pPr>
      <w:r>
        <w:rPr>
          <w:rFonts w:ascii="Malgun Gothic" w:cs="Malgun Gothic" w:eastAsia="Malgun Gothic" w:hAnsi="Malgun Gothic"/>
          <w:color w:val="006F7F"/>
          <w:sz w:val="20"/>
          <w:szCs w:val="20"/>
        </w:rPr>
        <w:t xml:space="preserve">하나증권에 따르면 중국은 2026~2027년 디레버리징·디플레이션 국면 탈피 후 성장 모델 전환 이후 첫 번째 균형 국면에 진입하며 분기 성장률 4.8~5.2%를 안정적으로 유지할 전망이다. 글로벌 수출 시장 점유율도 14.8%로 지속 상승 중이다.</w:t>
      </w:r>
    </w:p>
    <w:p>
      <w:pPr>
        <w:spacing w:before="100"/>
      </w:pPr>
    </w:p>
    <w:p>
      <w:pPr>
        <w:pBdr>
          <w:left w:val="single" w:color="2E75B6" w:sz="10" w:space="4"/>
        </w:pBdr>
        <w:spacing w:after="60" w:before="180"/>
        <w:ind w:left="200"/>
      </w:pPr>
      <w:r>
        <w:rPr>
          <w:rFonts w:ascii="Malgun Gothic" w:cs="Malgun Gothic" w:eastAsia="Malgun Gothic" w:hAnsi="Malgun Gothic"/>
          <w:b/>
          <w:bCs/>
          <w:color w:val="1B3A6B"/>
          <w:sz w:val="22"/>
          <w:szCs w:val="22"/>
        </w:rPr>
        <w:t xml:space="preserve">3) FX (환율)</w:t>
      </w:r>
    </w:p>
    <w:p>
      <w:pPr>
        <w:spacing w:after="40" w:before="40" w:line="320" w:lineRule="auto"/>
        <w:ind/>
      </w:pPr>
      <w:r>
        <w:rPr>
          <w:rFonts w:ascii="Malgun Gothic" w:cs="Malgun Gothic" w:eastAsia="Malgun Gothic" w:hAnsi="Malgun Gothic"/>
          <w:sz w:val="20"/>
          <w:szCs w:val="20"/>
        </w:rPr>
        <w:t xml:space="preserve">달러-원 하반기 평균은 1,440원, 적정 레인지 1,380~1,500원이다. 하나증권은 분기 평균으로 2Q 1,470원 → 3Q 1,440원 → 4Q 1,420원으로 점진적 하락을 전망한다.</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BBBB" w:sz="1"/>
              <w:left w:val="single" w:color="BBBBBB" w:sz="1"/>
              <w:bottom w:val="single" w:color="BBBBBB" w:sz="1"/>
              <w:right w:val="single" w:color="BBBBBB" w:sz="1"/>
            </w:tcBorders>
            <w:shd w:fill="1B3A6B" w:val="clear"/>
            <w:tcMar>
              <w:top w:type="dxa" w:w="80"/>
              <w:left w:type="dxa" w:w="120"/>
              <w:bottom w:type="dxa" w:w="80"/>
              <w:right w:type="dxa" w:w="120"/>
            </w:tcMar>
            <w:vAlign w:val="center"/>
          </w:tcPr>
          <w:p>
            <w:pPr>
              <w:spacing w:after="0" w:before="0"/>
              <w:jc w:val="center"/>
            </w:pPr>
            <w:r>
              <w:rPr>
                <w:rFonts w:ascii="Malgun Gothic" w:cs="Malgun Gothic" w:eastAsia="Malgun Gothic" w:hAnsi="Malgun Gothic"/>
                <w:b/>
                <w:bCs/>
                <w:color w:val="FFFFFF"/>
                <w:sz w:val="19"/>
                <w:szCs w:val="19"/>
              </w:rPr>
              <w:t xml:space="preserve"/>
            </w:r>
          </w:p>
        </w:tc>
        <w:tc>
          <w:tcPr>
            <w:tcW w:type="dxa" w:w="2340"/>
            <w:tcBorders>
              <w:top w:val="single" w:color="BBBBBB" w:sz="1"/>
              <w:left w:val="single" w:color="BBBBBB" w:sz="1"/>
              <w:bottom w:val="single" w:color="BBBBBB" w:sz="1"/>
              <w:right w:val="single" w:color="BBBBBB" w:sz="1"/>
            </w:tcBorders>
            <w:shd w:fill="1B3A6B" w:val="clear"/>
            <w:tcMar>
              <w:top w:type="dxa" w:w="80"/>
              <w:left w:type="dxa" w:w="120"/>
              <w:bottom w:type="dxa" w:w="80"/>
              <w:right w:type="dxa" w:w="120"/>
            </w:tcMar>
            <w:vAlign w:val="center"/>
          </w:tcPr>
          <w:p>
            <w:pPr>
              <w:spacing w:after="0" w:before="0"/>
              <w:jc w:val="center"/>
            </w:pPr>
            <w:r>
              <w:rPr>
                <w:rFonts w:ascii="Malgun Gothic" w:cs="Malgun Gothic" w:eastAsia="Malgun Gothic" w:hAnsi="Malgun Gothic"/>
                <w:b/>
                <w:bCs/>
                <w:color w:val="FFFFFF"/>
                <w:sz w:val="19"/>
                <w:szCs w:val="19"/>
              </w:rPr>
              <w:t xml:space="preserve">2Q 2026</w:t>
            </w:r>
          </w:p>
        </w:tc>
        <w:tc>
          <w:tcPr>
            <w:tcW w:type="dxa" w:w="2340"/>
            <w:tcBorders>
              <w:top w:val="single" w:color="BBBBBB" w:sz="1"/>
              <w:left w:val="single" w:color="BBBBBB" w:sz="1"/>
              <w:bottom w:val="single" w:color="BBBBBB" w:sz="1"/>
              <w:right w:val="single" w:color="BBBBBB" w:sz="1"/>
            </w:tcBorders>
            <w:shd w:fill="1B3A6B" w:val="clear"/>
            <w:tcMar>
              <w:top w:type="dxa" w:w="80"/>
              <w:left w:type="dxa" w:w="120"/>
              <w:bottom w:type="dxa" w:w="80"/>
              <w:right w:type="dxa" w:w="120"/>
            </w:tcMar>
            <w:vAlign w:val="center"/>
          </w:tcPr>
          <w:p>
            <w:pPr>
              <w:spacing w:after="0" w:before="0"/>
              <w:jc w:val="center"/>
            </w:pPr>
            <w:r>
              <w:rPr>
                <w:rFonts w:ascii="Malgun Gothic" w:cs="Malgun Gothic" w:eastAsia="Malgun Gothic" w:hAnsi="Malgun Gothic"/>
                <w:b/>
                <w:bCs/>
                <w:color w:val="FFFFFF"/>
                <w:sz w:val="19"/>
                <w:szCs w:val="19"/>
              </w:rPr>
              <w:t xml:space="preserve">3Q 2026</w:t>
            </w:r>
          </w:p>
        </w:tc>
        <w:tc>
          <w:tcPr>
            <w:tcW w:type="dxa" w:w="2340"/>
            <w:tcBorders>
              <w:top w:val="single" w:color="BBBBBB" w:sz="1"/>
              <w:left w:val="single" w:color="BBBBBB" w:sz="1"/>
              <w:bottom w:val="single" w:color="BBBBBB" w:sz="1"/>
              <w:right w:val="single" w:color="BBBBBB" w:sz="1"/>
            </w:tcBorders>
            <w:shd w:fill="1B3A6B" w:val="clear"/>
            <w:tcMar>
              <w:top w:type="dxa" w:w="80"/>
              <w:left w:type="dxa" w:w="120"/>
              <w:bottom w:type="dxa" w:w="80"/>
              <w:right w:type="dxa" w:w="120"/>
            </w:tcMar>
            <w:vAlign w:val="center"/>
          </w:tcPr>
          <w:p>
            <w:pPr>
              <w:spacing w:after="0" w:before="0"/>
              <w:jc w:val="center"/>
            </w:pPr>
            <w:r>
              <w:rPr>
                <w:rFonts w:ascii="Malgun Gothic" w:cs="Malgun Gothic" w:eastAsia="Malgun Gothic" w:hAnsi="Malgun Gothic"/>
                <w:b/>
                <w:bCs/>
                <w:color w:val="FFFFFF"/>
                <w:sz w:val="19"/>
                <w:szCs w:val="19"/>
              </w:rPr>
              <w:t xml:space="preserve">4Q 2026</w:t>
            </w:r>
          </w:p>
        </w:tc>
      </w:tr>
      <w:tr>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달러-원 (분기 평균)</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1,470원</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1,440원</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1,420원</w:t>
            </w:r>
          </w:p>
        </w:tc>
      </w:tr>
      <w:tr>
        <w:tc>
          <w:tcPr>
            <w:tcW w:type="dxa" w:w="2340"/>
            <w:tcBorders>
              <w:top w:val="single" w:color="BBBBBB" w:sz="1"/>
              <w:left w:val="single" w:color="BBBBBB" w:sz="1"/>
              <w:bottom w:val="single" w:color="BBBBBB" w:sz="1"/>
              <w:right w:val="single" w:color="BBBBBB" w:sz="1"/>
            </w:tcBorders>
            <w:shd w:fill="D9E6F2" w:val="clear"/>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하락 동인</w:t>
            </w:r>
          </w:p>
        </w:tc>
        <w:tc>
          <w:tcPr>
            <w:tcW w:type="dxa" w:w="2340"/>
            <w:tcBorders>
              <w:top w:val="single" w:color="BBBBBB" w:sz="1"/>
              <w:left w:val="single" w:color="BBBBBB" w:sz="1"/>
              <w:bottom w:val="single" w:color="BBBBBB" w:sz="1"/>
              <w:right w:val="single" w:color="BBBBBB" w:sz="1"/>
            </w:tcBorders>
            <w:shd w:fill="D9E6F2" w:val="clear"/>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중동 종전 기대, 성장률 상향</w:t>
            </w:r>
          </w:p>
        </w:tc>
        <w:tc>
          <w:tcPr>
            <w:tcW w:type="dxa" w:w="2340"/>
            <w:tcBorders>
              <w:top w:val="single" w:color="BBBBBB" w:sz="1"/>
              <w:left w:val="single" w:color="BBBBBB" w:sz="1"/>
              <w:bottom w:val="single" w:color="BBBBBB" w:sz="1"/>
              <w:right w:val="single" w:color="BBBBBB" w:sz="1"/>
            </w:tcBorders>
            <w:shd w:fill="D9E6F2" w:val="clear"/>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경상수지 흑자, 외국인 자금 유입</w:t>
            </w:r>
          </w:p>
        </w:tc>
        <w:tc>
          <w:tcPr>
            <w:tcW w:type="dxa" w:w="2340"/>
            <w:tcBorders>
              <w:top w:val="single" w:color="BBBBBB" w:sz="1"/>
              <w:left w:val="single" w:color="BBBBBB" w:sz="1"/>
              <w:bottom w:val="single" w:color="BBBBBB" w:sz="1"/>
              <w:right w:val="single" w:color="BBBBBB" w:sz="1"/>
            </w:tcBorders>
            <w:shd w:fill="D9E6F2" w:val="clear"/>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한-미 금리역전 폭 125bp→75bp 축소</w:t>
            </w:r>
          </w:p>
        </w:tc>
      </w:tr>
    </w:tbl>
    <w:p>
      <w:pPr>
        <w:spacing w:after="120" w:before="30"/>
        <w:jc w:val="center"/>
      </w:pPr>
      <w:r>
        <w:rPr>
          <w:rFonts w:ascii="Malgun Gothic" w:cs="Malgun Gothic" w:eastAsia="Malgun Gothic" w:hAnsi="Malgun Gothic"/>
          <w:i/>
          <w:iCs/>
          <w:color w:val="5E5E5E"/>
          <w:sz w:val="16"/>
          <w:szCs w:val="16"/>
        </w:rPr>
        <w:t xml:space="preserve">출처: 하나증권 2026.05.08</w:t>
      </w:r>
    </w:p>
    <w:p>
      <w:pPr>
        <w:spacing w:before="40"/>
      </w:pPr>
    </w:p>
    <w:p>
      <w:pPr>
        <w:spacing w:after="40" w:before="40" w:line="320" w:lineRule="auto"/>
        <w:ind/>
      </w:pPr>
      <w:r>
        <w:rPr>
          <w:rFonts w:ascii="Malgun Gothic" w:cs="Malgun Gothic" w:eastAsia="Malgun Gothic" w:hAnsi="Malgun Gothic"/>
          <w:sz w:val="20"/>
          <w:szCs w:val="20"/>
        </w:rPr>
        <w:t xml:space="preserve">위안화는 달러/위안 6.5위안 근접이 예상되며, 위안화 강세는 중국 증시 투자의 환차익을 지지한다. 8월 잭슨홀 전후로 달러 강세 모멘텀이 확인될 경우 원화 표시 자산 비중 소폭 축소를 고려한다.</w:t>
      </w:r>
    </w:p>
    <w:p>
      <w:pPr>
        <w:spacing w:before="100"/>
      </w:pPr>
    </w:p>
    <w:p>
      <w:pPr>
        <w:pBdr>
          <w:left w:val="single" w:color="2E75B6" w:sz="10" w:space="4"/>
        </w:pBdr>
        <w:spacing w:after="60" w:before="180"/>
        <w:ind w:left="200"/>
      </w:pPr>
      <w:r>
        <w:rPr>
          <w:rFonts w:ascii="Malgun Gothic" w:cs="Malgun Gothic" w:eastAsia="Malgun Gothic" w:hAnsi="Malgun Gothic"/>
          <w:b/>
          <w:bCs/>
          <w:color w:val="1B3A6B"/>
          <w:sz w:val="22"/>
          <w:szCs w:val="22"/>
        </w:rPr>
        <w:t xml:space="preserve">4) 원자재</w:t>
      </w:r>
    </w:p>
    <w:p>
      <w:pPr>
        <w:spacing w:after="40" w:before="40" w:line="320" w:lineRule="auto"/>
        <w:ind/>
      </w:pPr>
      <w:r>
        <w:rPr>
          <w:rFonts w:ascii="Malgun Gothic" w:cs="Malgun Gothic" w:eastAsia="Malgun Gothic" w:hAnsi="Malgun Gothic"/>
          <w:color w:val="006F7F"/>
          <w:sz w:val="20"/>
          <w:szCs w:val="20"/>
        </w:rPr>
        <w:t xml:space="preserve">하나증권은 2026년 하반기 원자재 선호도를 산업금속 &gt; 귀금속 &gt; 원유 순으로 제시한다. 이란 전쟁 기간 중 눈에 보이는 에너지 위주로 가격이 급등했다면, 전쟁 이후에는 산업금속 등 파급효과에 주목할 것을 권고한다.</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rPr>
          <w:tblHeader/>
        </w:trPr>
        <w:tc>
          <w:tcPr>
            <w:tcW w:type="dxa" w:w="1560"/>
            <w:tcBorders>
              <w:top w:val="single" w:color="BBBBBB" w:sz="1"/>
              <w:left w:val="single" w:color="BBBBBB" w:sz="1"/>
              <w:bottom w:val="single" w:color="BBBBBB" w:sz="1"/>
              <w:right w:val="single" w:color="BBBBBB" w:sz="1"/>
            </w:tcBorders>
            <w:shd w:fill="1B3A6B" w:val="clear"/>
            <w:tcMar>
              <w:top w:type="dxa" w:w="80"/>
              <w:left w:type="dxa" w:w="120"/>
              <w:bottom w:type="dxa" w:w="80"/>
              <w:right w:type="dxa" w:w="120"/>
            </w:tcMar>
            <w:vAlign w:val="center"/>
          </w:tcPr>
          <w:p>
            <w:pPr>
              <w:spacing w:after="0" w:before="0"/>
              <w:jc w:val="center"/>
            </w:pPr>
            <w:r>
              <w:rPr>
                <w:rFonts w:ascii="Malgun Gothic" w:cs="Malgun Gothic" w:eastAsia="Malgun Gothic" w:hAnsi="Malgun Gothic"/>
                <w:b/>
                <w:bCs/>
                <w:color w:val="FFFFFF"/>
                <w:sz w:val="19"/>
                <w:szCs w:val="19"/>
              </w:rPr>
              <w:t xml:space="preserve">원자재</w:t>
            </w:r>
          </w:p>
        </w:tc>
        <w:tc>
          <w:tcPr>
            <w:tcW w:type="dxa" w:w="2600"/>
            <w:tcBorders>
              <w:top w:val="single" w:color="BBBBBB" w:sz="1"/>
              <w:left w:val="single" w:color="BBBBBB" w:sz="1"/>
              <w:bottom w:val="single" w:color="BBBBBB" w:sz="1"/>
              <w:right w:val="single" w:color="BBBBBB" w:sz="1"/>
            </w:tcBorders>
            <w:shd w:fill="1B3A6B" w:val="clear"/>
            <w:tcMar>
              <w:top w:type="dxa" w:w="80"/>
              <w:left w:type="dxa" w:w="120"/>
              <w:bottom w:type="dxa" w:w="80"/>
              <w:right w:type="dxa" w:w="120"/>
            </w:tcMar>
            <w:vAlign w:val="center"/>
          </w:tcPr>
          <w:p>
            <w:pPr>
              <w:spacing w:after="0" w:before="0"/>
              <w:jc w:val="center"/>
            </w:pPr>
            <w:r>
              <w:rPr>
                <w:rFonts w:ascii="Malgun Gothic" w:cs="Malgun Gothic" w:eastAsia="Malgun Gothic" w:hAnsi="Malgun Gothic"/>
                <w:b/>
                <w:bCs/>
                <w:color w:val="FFFFFF"/>
                <w:sz w:val="19"/>
                <w:szCs w:val="19"/>
              </w:rPr>
              <w:t xml:space="preserve">가격 전망</w:t>
            </w:r>
          </w:p>
        </w:tc>
        <w:tc>
          <w:tcPr>
            <w:tcW w:type="dxa" w:w="2600"/>
            <w:tcBorders>
              <w:top w:val="single" w:color="BBBBBB" w:sz="1"/>
              <w:left w:val="single" w:color="BBBBBB" w:sz="1"/>
              <w:bottom w:val="single" w:color="BBBBBB" w:sz="1"/>
              <w:right w:val="single" w:color="BBBBBB" w:sz="1"/>
            </w:tcBorders>
            <w:shd w:fill="1B3A6B" w:val="clear"/>
            <w:tcMar>
              <w:top w:type="dxa" w:w="80"/>
              <w:left w:type="dxa" w:w="120"/>
              <w:bottom w:type="dxa" w:w="80"/>
              <w:right w:type="dxa" w:w="120"/>
            </w:tcMar>
            <w:vAlign w:val="center"/>
          </w:tcPr>
          <w:p>
            <w:pPr>
              <w:spacing w:after="0" w:before="0"/>
              <w:jc w:val="center"/>
            </w:pPr>
            <w:r>
              <w:rPr>
                <w:rFonts w:ascii="Malgun Gothic" w:cs="Malgun Gothic" w:eastAsia="Malgun Gothic" w:hAnsi="Malgun Gothic"/>
                <w:b/>
                <w:bCs/>
                <w:color w:val="FFFFFF"/>
                <w:sz w:val="19"/>
                <w:szCs w:val="19"/>
              </w:rPr>
              <w:t xml:space="preserve">핵심 동인</w:t>
            </w:r>
          </w:p>
        </w:tc>
        <w:tc>
          <w:tcPr>
            <w:tcW w:type="dxa" w:w="2600"/>
            <w:tcBorders>
              <w:top w:val="single" w:color="BBBBBB" w:sz="1"/>
              <w:left w:val="single" w:color="BBBBBB" w:sz="1"/>
              <w:bottom w:val="single" w:color="BBBBBB" w:sz="1"/>
              <w:right w:val="single" w:color="BBBBBB" w:sz="1"/>
            </w:tcBorders>
            <w:shd w:fill="1B3A6B" w:val="clear"/>
            <w:tcMar>
              <w:top w:type="dxa" w:w="80"/>
              <w:left w:type="dxa" w:w="120"/>
              <w:bottom w:type="dxa" w:w="80"/>
              <w:right w:type="dxa" w:w="120"/>
            </w:tcMar>
            <w:vAlign w:val="center"/>
          </w:tcPr>
          <w:p>
            <w:pPr>
              <w:spacing w:after="0" w:before="0"/>
              <w:jc w:val="center"/>
            </w:pPr>
            <w:r>
              <w:rPr>
                <w:rFonts w:ascii="Malgun Gothic" w:cs="Malgun Gothic" w:eastAsia="Malgun Gothic" w:hAnsi="Malgun Gothic"/>
                <w:b/>
                <w:bCs/>
                <w:color w:val="FFFFFF"/>
                <w:sz w:val="19"/>
                <w:szCs w:val="19"/>
              </w:rPr>
              <w:t xml:space="preserve">운용 전략</w:t>
            </w:r>
          </w:p>
        </w:tc>
      </w:tr>
      <w:tr>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WTI 유가</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$70~$95/bbl (하반기)</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호르무즈 봉쇄 공급 차질 + 드라이빙 시즌. 4Q 안정화 예상</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직접 투자 배제. 조선·방산 간접 접근</w:t>
            </w:r>
          </w:p>
        </w:tc>
      </w:tr>
      <w:tr>
        <w:tc>
          <w:tcPr>
            <w:tcW w:type="dxa" w:w="1560"/>
            <w:tcBorders>
              <w:top w:val="single" w:color="BBBBBB" w:sz="1"/>
              <w:left w:val="single" w:color="BBBBBB" w:sz="1"/>
              <w:bottom w:val="single" w:color="BBBBBB" w:sz="1"/>
              <w:right w:val="single" w:color="BBBBBB" w:sz="1"/>
            </w:tcBorders>
            <w:shd w:fill="D9E6F2" w:val="clear"/>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금 (Gold)</w:t>
            </w:r>
          </w:p>
        </w:tc>
        <w:tc>
          <w:tcPr>
            <w:tcW w:type="dxa" w:w="2600"/>
            <w:tcBorders>
              <w:top w:val="single" w:color="BBBBBB" w:sz="1"/>
              <w:left w:val="single" w:color="BBBBBB" w:sz="1"/>
              <w:bottom w:val="single" w:color="BBBBBB" w:sz="1"/>
              <w:right w:val="single" w:color="BBBBBB" w:sz="1"/>
            </w:tcBorders>
            <w:shd w:fill="D9E6F2" w:val="clear"/>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$4,100~$5,300/oz (하반기)</w:t>
            </w:r>
          </w:p>
        </w:tc>
        <w:tc>
          <w:tcPr>
            <w:tcW w:type="dxa" w:w="2600"/>
            <w:tcBorders>
              <w:top w:val="single" w:color="BBBBBB" w:sz="1"/>
              <w:left w:val="single" w:color="BBBBBB" w:sz="1"/>
              <w:bottom w:val="single" w:color="BBBBBB" w:sz="1"/>
              <w:right w:val="single" w:color="BBBBBB" w:sz="1"/>
            </w:tcBorders>
            <w:shd w:fill="D9E6F2" w:val="clear"/>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연준 인하 기대, 달러 약세, 중앙은행 구조적 매입</w:t>
            </w:r>
          </w:p>
        </w:tc>
        <w:tc>
          <w:tcPr>
            <w:tcW w:type="dxa" w:w="2600"/>
            <w:tcBorders>
              <w:top w:val="single" w:color="BBBBBB" w:sz="1"/>
              <w:left w:val="single" w:color="BBBBBB" w:sz="1"/>
              <w:bottom w:val="single" w:color="BBBBBB" w:sz="1"/>
              <w:right w:val="single" w:color="BBBBBB" w:sz="1"/>
            </w:tcBorders>
            <w:shd w:fill="D9E6F2" w:val="clear"/>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포트폴리오 5% 헤지 포지션 전 기간 유지</w:t>
            </w:r>
          </w:p>
        </w:tc>
      </w:tr>
      <w:tr>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구리 (산업금속)</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강세 기조 지속</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중국 리플레이션 + AI 데이터센터 전력 + 미국 Project Vault</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에너지 전환 수혜 업종으로 간접 접근</w:t>
            </w:r>
          </w:p>
        </w:tc>
      </w:tr>
    </w:tbl>
    <w:p>
      <w:pPr>
        <w:spacing w:after="120" w:before="30"/>
        <w:jc w:val="center"/>
      </w:pPr>
      <w:r>
        <w:rPr>
          <w:rFonts w:ascii="Malgun Gothic" w:cs="Malgun Gothic" w:eastAsia="Malgun Gothic" w:hAnsi="Malgun Gothic"/>
          <w:i/>
          <w:iCs/>
          <w:color w:val="5E5E5E"/>
          <w:sz w:val="16"/>
          <w:szCs w:val="16"/>
        </w:rPr>
        <w:t xml:space="preserve">출처: 하나증권 2026.05.08, RFS 분석</w:t>
      </w:r>
    </w:p>
    <w:p>
      <w:pPr>
        <w:spacing w:before="60"/>
      </w:pPr>
    </w:p>
    <w:p>
      <w:pPr>
        <w:spacing w:after="40" w:before="40" w:line="320" w:lineRule="auto"/>
        <w:ind/>
      </w:pPr>
      <w:r>
        <w:rPr>
          <w:rFonts w:ascii="Malgun Gothic" w:cs="Malgun Gothic" w:eastAsia="Malgun Gothic" w:hAnsi="Malgun Gothic"/>
          <w:color w:val="006F7F"/>
          <w:sz w:val="20"/>
          <w:szCs w:val="20"/>
        </w:rPr>
        <w:t xml:space="preserve">하나증권에 따르면 호르무즈 해협 봉쇄로 인한 원유 공급 차질은 일일 1,000만 배럴 내외로 사상 최대 규모이며, OECD 석유 재고는 3분기까지 줄어들 가능성이 높다. 유가가 전쟁 이전 수준에 근접하게 안정되는 시점은 4분기로 예상된다. 구리는 중국(정제 구리 소비의 57%), 미국 AI 데이터센터 수요, 전기차 확대, 미국 Project Vault(120억 달러 규모 핵심광물 비축) 등 복합적인 수요 기반이 강세를 뒷받침한다.</w:t>
      </w:r>
    </w:p>
    <w:p>
      <w:pPr>
        <w:spacing w:after="0"/>
      </w:pPr>
      <w:r>
        <w:br w:type="page"/>
      </w:r>
    </w:p>
    <w:p>
      <w:pPr>
        <w:pStyle w:val="Heading2"/>
        <w:spacing w:after="80" w:before="240"/>
      </w:pPr>
      <w:r>
        <w:rPr>
          <w:rFonts w:ascii="Malgun Gothic" w:cs="Malgun Gothic" w:eastAsia="Malgun Gothic" w:hAnsi="Malgun Gothic"/>
        </w:rPr>
        <w:t xml:space="preserve">b. 안전자산</w:t>
      </w:r>
    </w:p>
    <w:p>
      <w:pPr>
        <w:pBdr>
          <w:left w:val="single" w:color="2E75B6" w:sz="10" w:space="4"/>
        </w:pBdr>
        <w:spacing w:after="60" w:before="180"/>
        <w:ind w:left="200"/>
      </w:pPr>
      <w:r>
        <w:rPr>
          <w:rFonts w:ascii="Malgun Gothic" w:cs="Malgun Gothic" w:eastAsia="Malgun Gothic" w:hAnsi="Malgun Gothic"/>
          <w:b/>
          <w:bCs/>
          <w:color w:val="1B3A6B"/>
          <w:sz w:val="22"/>
          <w:szCs w:val="22"/>
        </w:rPr>
        <w:t xml:space="preserve">1) 국내채권</w:t>
      </w:r>
    </w:p>
    <w:p>
      <w:pPr>
        <w:spacing w:after="40" w:before="40" w:line="320" w:lineRule="auto"/>
        <w:ind/>
      </w:pPr>
      <w:r>
        <w:rPr>
          <w:rFonts w:ascii="Malgun Gothic" w:cs="Malgun Gothic" w:eastAsia="Malgun Gothic" w:hAnsi="Malgun Gothic"/>
          <w:sz w:val="20"/>
          <w:szCs w:val="20"/>
        </w:rPr>
        <w:t xml:space="preserve">한국은행은 3·4분기 각각 25bp 인상 예정으로, 운용 기간(6~8월) 내 3분기 1회 인상이 포함된다. CPI 헤드라인 2.6% 전망, 고유가 지속으로 물가 상방 압력이 유지된다.</w:t>
      </w:r>
    </w:p>
    <w:p>
      <w:pPr>
        <w:spacing w:before="40"/>
      </w:pPr>
    </w:p>
    <w:p>
      <w:pPr>
        <w:spacing w:after="40" w:before="40" w:line="320" w:lineRule="auto"/>
        <w:ind/>
      </w:pPr>
      <w:r>
        <w:rPr>
          <w:rFonts w:ascii="Malgun Gothic" w:cs="Malgun Gothic" w:eastAsia="Malgun Gothic" w:hAnsi="Malgun Gothic"/>
          <w:color w:val="006F7F"/>
          <w:sz w:val="20"/>
          <w:szCs w:val="20"/>
        </w:rPr>
        <w:t xml:space="preserve">하나증권은 신현송 신임 한은 총재가 물가와 성장 목표가 상충될 경우 물가 우선을 선언했다고 분석하며, 연말 11월 1회 금리인상으로 한-미 금리역전 폭이 125bp에서 75bp로 축소될 것으로 예상한다. 이는 달러-원 환율 하락을 유도하는 요인이다.</w:t>
      </w:r>
    </w:p>
    <w:p>
      <w:pPr>
        <w:spacing w:before="40"/>
      </w:pPr>
    </w:p>
    <w:p>
      <w:pPr>
        <w:pStyle w:val="ListParagraph"/>
        <w:numPr>
          <w:ilvl w:val="0"/>
          <w:numId w:val="2"/>
        </w:numPr>
        <w:spacing w:after="30" w:before="30" w:line="300" w:lineRule="auto"/>
      </w:pPr>
      <w:r>
        <w:rPr>
          <w:rFonts w:ascii="Malgun Gothic" w:cs="Malgun Gothic" w:eastAsia="Malgun Gothic" w:hAnsi="Malgun Gothic"/>
          <w:sz w:val="20"/>
          <w:szCs w:val="20"/>
        </w:rPr>
        <w:t xml:space="preserve">6~7월: 단기물(잔존만기 1~2년 이하) 중심 운용, 회사채·여전채 스프레드 매력 활용</w:t>
      </w:r>
    </w:p>
    <w:p>
      <w:pPr>
        <w:pStyle w:val="ListParagraph"/>
        <w:numPr>
          <w:ilvl w:val="0"/>
          <w:numId w:val="2"/>
        </w:numPr>
        <w:spacing w:after="30" w:before="30" w:line="300" w:lineRule="auto"/>
      </w:pPr>
      <w:r>
        <w:rPr>
          <w:rFonts w:ascii="Malgun Gothic" w:cs="Malgun Gothic" w:eastAsia="Malgun Gothic" w:hAnsi="Malgun Gothic"/>
          <w:sz w:val="20"/>
          <w:szCs w:val="20"/>
        </w:rPr>
        <w:t xml:space="preserve">8월: 위험자산 비중 축소분을 단기채·초단기 금리연계형으로 이동</w:t>
      </w:r>
    </w:p>
    <w:p>
      <w:pPr>
        <w:spacing w:before="80"/>
      </w:pPr>
    </w:p>
    <w:p>
      <w:pPr>
        <w:pBdr>
          <w:left w:val="single" w:color="2E75B6" w:sz="10" w:space="4"/>
        </w:pBdr>
        <w:spacing w:after="60" w:before="180"/>
        <w:ind w:left="200"/>
      </w:pPr>
      <w:r>
        <w:rPr>
          <w:rFonts w:ascii="Malgun Gothic" w:cs="Malgun Gothic" w:eastAsia="Malgun Gothic" w:hAnsi="Malgun Gothic"/>
          <w:b/>
          <w:bCs/>
          <w:color w:val="1B3A6B"/>
          <w:sz w:val="22"/>
          <w:szCs w:val="22"/>
        </w:rPr>
        <w:t xml:space="preserve">2) 해외채권</w:t>
      </w:r>
    </w:p>
    <w:p>
      <w:pPr>
        <w:spacing w:after="40" w:before="40" w:line="320" w:lineRule="auto"/>
        <w:ind/>
      </w:pPr>
      <w:r>
        <w:rPr>
          <w:rFonts w:ascii="Malgun Gothic" w:cs="Malgun Gothic" w:eastAsia="Malgun Gothic" w:hAnsi="Malgun Gothic"/>
          <w:sz w:val="20"/>
          <w:szCs w:val="20"/>
        </w:rPr>
        <w:t xml:space="preserve">연준은 운용 기간 내 금리를 현 수준(3.5~3.75%)에서 동결할 것으로 예상된다. 8월 말 잭슨홀에서 매파 발언이 나올 경우 미국 장기금리 상방 압력 발생 가능성에 대비한다.</w:t>
      </w:r>
    </w:p>
    <w:p>
      <w:pPr>
        <w:pStyle w:val="ListParagraph"/>
        <w:numPr>
          <w:ilvl w:val="0"/>
          <w:numId w:val="2"/>
        </w:numPr>
        <w:spacing w:after="30" w:before="30" w:line="300" w:lineRule="auto"/>
      </w:pPr>
      <w:r>
        <w:rPr>
          <w:rFonts w:ascii="Malgun Gothic" w:cs="Malgun Gothic" w:eastAsia="Malgun Gothic" w:hAnsi="Malgun Gothic"/>
          <w:sz w:val="20"/>
          <w:szCs w:val="20"/>
        </w:rPr>
        <w:t xml:space="preserve">미국 IG 크레딧 단기물 위주로 소폭 운용</w:t>
      </w:r>
    </w:p>
    <w:p>
      <w:pPr>
        <w:pStyle w:val="ListParagraph"/>
        <w:numPr>
          <w:ilvl w:val="0"/>
          <w:numId w:val="2"/>
        </w:numPr>
        <w:spacing w:after="30" w:before="30" w:line="300" w:lineRule="auto"/>
      </w:pPr>
      <w:r>
        <w:rPr>
          <w:rFonts w:ascii="Malgun Gothic" w:cs="Malgun Gothic" w:eastAsia="Malgun Gothic" w:hAnsi="Malgun Gothic"/>
          <w:sz w:val="20"/>
          <w:szCs w:val="20"/>
        </w:rPr>
        <w:t xml:space="preserve">하이일드 배제: Oracle CDS 상승 등 AI 빅테크 차입 확대 리스크</w:t>
      </w:r>
    </w:p>
    <w:p>
      <w:pPr>
        <w:pStyle w:val="ListParagraph"/>
        <w:numPr>
          <w:ilvl w:val="0"/>
          <w:numId w:val="2"/>
        </w:numPr>
        <w:spacing w:after="30" w:before="30" w:line="300" w:lineRule="auto"/>
      </w:pPr>
      <w:r>
        <w:rPr>
          <w:rFonts w:ascii="Malgun Gothic" w:cs="Malgun Gothic" w:eastAsia="Malgun Gothic" w:hAnsi="Malgun Gothic"/>
          <w:sz w:val="20"/>
          <w:szCs w:val="20"/>
        </w:rPr>
        <w:t xml:space="preserve">잭슨홀 이후 장기물 금리 방향 확인 후 추가 검토</w:t>
      </w:r>
    </w:p>
    <w:p>
      <w:pPr>
        <w:spacing w:before="80"/>
      </w:pPr>
    </w:p>
    <w:p>
      <w:pPr>
        <w:pBdr>
          <w:left w:val="single" w:color="2E75B6" w:sz="10" w:space="4"/>
        </w:pBdr>
        <w:spacing w:after="60" w:before="180"/>
        <w:ind w:left="200"/>
      </w:pPr>
      <w:r>
        <w:rPr>
          <w:rFonts w:ascii="Malgun Gothic" w:cs="Malgun Gothic" w:eastAsia="Malgun Gothic" w:hAnsi="Malgun Gothic"/>
          <w:b/>
          <w:bCs/>
          <w:color w:val="1B3A6B"/>
          <w:sz w:val="22"/>
          <w:szCs w:val="22"/>
        </w:rPr>
        <w:t xml:space="preserve">3) 금리연계형 / 초단기채권</w:t>
      </w:r>
    </w:p>
    <w:p>
      <w:pPr>
        <w:pStyle w:val="ListParagraph"/>
        <w:numPr>
          <w:ilvl w:val="0"/>
          <w:numId w:val="2"/>
        </w:numPr>
        <w:spacing w:after="30" w:before="30" w:line="300" w:lineRule="auto"/>
      </w:pPr>
      <w:r>
        <w:rPr>
          <w:rFonts w:ascii="Malgun Gothic" w:cs="Malgun Gothic" w:eastAsia="Malgun Gothic" w:hAnsi="Malgun Gothic"/>
          <w:sz w:val="20"/>
          <w:szCs w:val="20"/>
        </w:rPr>
        <w:t xml:space="preserve">포트폴리오 10~15% 수준 유지</w:t>
      </w:r>
    </w:p>
    <w:p>
      <w:pPr>
        <w:pStyle w:val="ListParagraph"/>
        <w:numPr>
          <w:ilvl w:val="0"/>
          <w:numId w:val="2"/>
        </w:numPr>
        <w:spacing w:after="30" w:before="30" w:line="300" w:lineRule="auto"/>
      </w:pPr>
      <w:r>
        <w:rPr>
          <w:rFonts w:ascii="Malgun Gothic" w:cs="Malgun Gothic" w:eastAsia="Malgun Gothic" w:hAnsi="Malgun Gothic"/>
          <w:sz w:val="20"/>
          <w:szCs w:val="20"/>
        </w:rPr>
        <w:t xml:space="preserve">MMF, 단기 국공채 ETF: 8월 리스크 구간 대비 현금성 완충</w:t>
      </w:r>
    </w:p>
    <w:p>
      <w:pPr>
        <w:pStyle w:val="ListParagraph"/>
        <w:numPr>
          <w:ilvl w:val="0"/>
          <w:numId w:val="2"/>
        </w:numPr>
        <w:spacing w:after="30" w:before="30" w:line="300" w:lineRule="auto"/>
      </w:pPr>
      <w:r>
        <w:rPr>
          <w:rFonts w:ascii="Malgun Gothic" w:cs="Malgun Gothic" w:eastAsia="Malgun Gothic" w:hAnsi="Malgun Gothic"/>
          <w:sz w:val="20"/>
          <w:szCs w:val="20"/>
        </w:rPr>
        <w:t xml:space="preserve">SOFR ETF: 연준 동결 기간 안정적 캐리 제공</w:t>
      </w:r>
    </w:p>
    <w:p>
      <w:pPr>
        <w:spacing w:after="0"/>
      </w:pPr>
      <w:r>
        <w:br w:type="page"/>
      </w:r>
    </w:p>
    <w:p>
      <w:pPr>
        <w:pStyle w:val="Heading1"/>
        <w:pBdr>
          <w:bottom w:val="single" w:color="2E75B6" w:sz="6" w:space="1"/>
        </w:pBdr>
        <w:spacing w:after="120" w:before="360"/>
      </w:pPr>
      <w:r>
        <w:rPr>
          <w:rFonts w:ascii="Malgun Gothic" w:cs="Malgun Gothic" w:eastAsia="Malgun Gothic" w:hAnsi="Malgun Gothic"/>
        </w:rPr>
        <w:t xml:space="preserve">3.  상품별 투자전략 및 리스크 관리</w:t>
      </w:r>
    </w:p>
    <w:p>
      <w:pPr>
        <w:pStyle w:val="Heading2"/>
        <w:spacing w:after="80" w:before="240"/>
      </w:pPr>
      <w:r>
        <w:rPr>
          <w:rFonts w:ascii="Malgun Gothic" w:cs="Malgun Gothic" w:eastAsia="Malgun Gothic" w:hAnsi="Malgun Gothic"/>
        </w:rPr>
        <w:t xml:space="preserve">Phase 구분: 운용 기간을 두 단계로 명확히 분리</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3120"/>
      </w:tblGrid>
      <w:tr>
        <w:trPr>
          <w:tblHeader/>
        </w:trPr>
        <w:tc>
          <w:tcPr>
            <w:tcW w:type="dxa" w:w="1560"/>
            <w:tcBorders>
              <w:top w:val="single" w:color="BBBBBB" w:sz="1"/>
              <w:left w:val="single" w:color="BBBBBB" w:sz="1"/>
              <w:bottom w:val="single" w:color="BBBBBB" w:sz="1"/>
              <w:right w:val="single" w:color="BBBBBB" w:sz="1"/>
            </w:tcBorders>
            <w:shd w:fill="1B3A6B" w:val="clear"/>
            <w:tcMar>
              <w:top w:type="dxa" w:w="80"/>
              <w:left w:type="dxa" w:w="120"/>
              <w:bottom w:type="dxa" w:w="80"/>
              <w:right w:type="dxa" w:w="120"/>
            </w:tcMar>
            <w:vAlign w:val="center"/>
          </w:tcPr>
          <w:p>
            <w:pPr>
              <w:spacing w:after="0" w:before="0"/>
              <w:jc w:val="center"/>
            </w:pPr>
            <w:r>
              <w:rPr>
                <w:rFonts w:ascii="Malgun Gothic" w:cs="Malgun Gothic" w:eastAsia="Malgun Gothic" w:hAnsi="Malgun Gothic"/>
                <w:b/>
                <w:bCs/>
                <w:color w:val="FFFFFF"/>
                <w:sz w:val="19"/>
                <w:szCs w:val="19"/>
              </w:rPr>
              <w:t xml:space="preserve">구분</w:t>
            </w:r>
          </w:p>
        </w:tc>
        <w:tc>
          <w:tcPr>
            <w:tcW w:type="dxa" w:w="2340"/>
            <w:tcBorders>
              <w:top w:val="single" w:color="BBBBBB" w:sz="1"/>
              <w:left w:val="single" w:color="BBBBBB" w:sz="1"/>
              <w:bottom w:val="single" w:color="BBBBBB" w:sz="1"/>
              <w:right w:val="single" w:color="BBBBBB" w:sz="1"/>
            </w:tcBorders>
            <w:shd w:fill="1B3A6B" w:val="clear"/>
            <w:tcMar>
              <w:top w:type="dxa" w:w="80"/>
              <w:left w:type="dxa" w:w="120"/>
              <w:bottom w:type="dxa" w:w="80"/>
              <w:right w:type="dxa" w:w="120"/>
            </w:tcMar>
            <w:vAlign w:val="center"/>
          </w:tcPr>
          <w:p>
            <w:pPr>
              <w:spacing w:after="0" w:before="0"/>
              <w:jc w:val="center"/>
            </w:pPr>
            <w:r>
              <w:rPr>
                <w:rFonts w:ascii="Malgun Gothic" w:cs="Malgun Gothic" w:eastAsia="Malgun Gothic" w:hAnsi="Malgun Gothic"/>
                <w:b/>
                <w:bCs/>
                <w:color w:val="FFFFFF"/>
                <w:sz w:val="19"/>
                <w:szCs w:val="19"/>
              </w:rPr>
              <w:t xml:space="preserve">기간</w:t>
            </w:r>
          </w:p>
        </w:tc>
        <w:tc>
          <w:tcPr>
            <w:tcW w:type="dxa" w:w="2340"/>
            <w:tcBorders>
              <w:top w:val="single" w:color="BBBBBB" w:sz="1"/>
              <w:left w:val="single" w:color="BBBBBB" w:sz="1"/>
              <w:bottom w:val="single" w:color="BBBBBB" w:sz="1"/>
              <w:right w:val="single" w:color="BBBBBB" w:sz="1"/>
            </w:tcBorders>
            <w:shd w:fill="1B3A6B" w:val="clear"/>
            <w:tcMar>
              <w:top w:type="dxa" w:w="80"/>
              <w:left w:type="dxa" w:w="120"/>
              <w:bottom w:type="dxa" w:w="80"/>
              <w:right w:type="dxa" w:w="120"/>
            </w:tcMar>
            <w:vAlign w:val="center"/>
          </w:tcPr>
          <w:p>
            <w:pPr>
              <w:spacing w:after="0" w:before="0"/>
              <w:jc w:val="center"/>
            </w:pPr>
            <w:r>
              <w:rPr>
                <w:rFonts w:ascii="Malgun Gothic" w:cs="Malgun Gothic" w:eastAsia="Malgun Gothic" w:hAnsi="Malgun Gothic"/>
                <w:b/>
                <w:bCs/>
                <w:color w:val="FFFFFF"/>
                <w:sz w:val="19"/>
                <w:szCs w:val="19"/>
              </w:rPr>
              <w:t xml:space="preserve">기조</w:t>
            </w:r>
          </w:p>
        </w:tc>
        <w:tc>
          <w:tcPr>
            <w:tcW w:type="dxa" w:w="3120"/>
            <w:tcBorders>
              <w:top w:val="single" w:color="BBBBBB" w:sz="1"/>
              <w:left w:val="single" w:color="BBBBBB" w:sz="1"/>
              <w:bottom w:val="single" w:color="BBBBBB" w:sz="1"/>
              <w:right w:val="single" w:color="BBBBBB" w:sz="1"/>
            </w:tcBorders>
            <w:shd w:fill="1B3A6B" w:val="clear"/>
            <w:tcMar>
              <w:top w:type="dxa" w:w="80"/>
              <w:left w:type="dxa" w:w="120"/>
              <w:bottom w:type="dxa" w:w="80"/>
              <w:right w:type="dxa" w:w="120"/>
            </w:tcMar>
            <w:vAlign w:val="center"/>
          </w:tcPr>
          <w:p>
            <w:pPr>
              <w:spacing w:after="0" w:before="0"/>
              <w:jc w:val="center"/>
            </w:pPr>
            <w:r>
              <w:rPr>
                <w:rFonts w:ascii="Malgun Gothic" w:cs="Malgun Gothic" w:eastAsia="Malgun Gothic" w:hAnsi="Malgun Gothic"/>
                <w:b/>
                <w:bCs/>
                <w:color w:val="FFFFFF"/>
                <w:sz w:val="19"/>
                <w:szCs w:val="19"/>
              </w:rPr>
              <w:t xml:space="preserve">목표</w:t>
            </w:r>
          </w:p>
        </w:tc>
      </w:tr>
      <w:tr>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Phase 1</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6월 1일 ~ 7월 말</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공세적 (Offensive)</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Summer Rally + 2Q 어닝 서프라이즈 최대 수확</w:t>
            </w:r>
          </w:p>
        </w:tc>
      </w:tr>
      <w:tr>
        <w:tc>
          <w:tcPr>
            <w:tcW w:type="dxa" w:w="1560"/>
            <w:tcBorders>
              <w:top w:val="single" w:color="BBBBBB" w:sz="1"/>
              <w:left w:val="single" w:color="BBBBBB" w:sz="1"/>
              <w:bottom w:val="single" w:color="BBBBBB" w:sz="1"/>
              <w:right w:val="single" w:color="BBBBBB" w:sz="1"/>
            </w:tcBorders>
            <w:shd w:fill="D9E6F2" w:val="clear"/>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Phase 2</w:t>
            </w:r>
          </w:p>
        </w:tc>
        <w:tc>
          <w:tcPr>
            <w:tcW w:type="dxa" w:w="2340"/>
            <w:tcBorders>
              <w:top w:val="single" w:color="BBBBBB" w:sz="1"/>
              <w:left w:val="single" w:color="BBBBBB" w:sz="1"/>
              <w:bottom w:val="single" w:color="BBBBBB" w:sz="1"/>
              <w:right w:val="single" w:color="BBBBBB" w:sz="1"/>
            </w:tcBorders>
            <w:shd w:fill="D9E6F2" w:val="clear"/>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8월 1일 ~ 8월 31일</w:t>
            </w:r>
          </w:p>
        </w:tc>
        <w:tc>
          <w:tcPr>
            <w:tcW w:type="dxa" w:w="2340"/>
            <w:tcBorders>
              <w:top w:val="single" w:color="BBBBBB" w:sz="1"/>
              <w:left w:val="single" w:color="BBBBBB" w:sz="1"/>
              <w:bottom w:val="single" w:color="BBBBBB" w:sz="1"/>
              <w:right w:val="single" w:color="BBBBBB" w:sz="1"/>
            </w:tcBorders>
            <w:shd w:fill="D9E6F2" w:val="clear"/>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방어적 전환 (Defensive)</w:t>
            </w:r>
          </w:p>
        </w:tc>
        <w:tc>
          <w:tcPr>
            <w:tcW w:type="dxa" w:w="3120"/>
            <w:tcBorders>
              <w:top w:val="single" w:color="BBBBBB" w:sz="1"/>
              <w:left w:val="single" w:color="BBBBBB" w:sz="1"/>
              <w:bottom w:val="single" w:color="BBBBBB" w:sz="1"/>
              <w:right w:val="single" w:color="BBBBBB" w:sz="1"/>
            </w:tcBorders>
            <w:shd w:fill="D9E6F2" w:val="clear"/>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수익 보존, 잭슨홀 리스크 전 포지션 정리 방향화</w:t>
            </w:r>
          </w:p>
        </w:tc>
      </w:tr>
    </w:tbl>
    <w:p>
      <w:pPr>
        <w:spacing w:after="120" w:before="30"/>
        <w:jc w:val="center"/>
      </w:pPr>
      <w:r>
        <w:rPr>
          <w:rFonts w:ascii="Malgun Gothic" w:cs="Malgun Gothic" w:eastAsia="Malgun Gothic" w:hAnsi="Malgun Gothic"/>
          <w:i/>
          <w:iCs/>
          <w:color w:val="5E5E5E"/>
          <w:sz w:val="16"/>
          <w:szCs w:val="16"/>
        </w:rPr>
        <w:t xml:space="preserve">출처: RFS 자체 전략</w:t>
      </w:r>
    </w:p>
    <w:p>
      <w:pPr>
        <w:spacing w:before="100"/>
      </w:pPr>
    </w:p>
    <w:p>
      <w:pPr>
        <w:pStyle w:val="Heading2"/>
        <w:spacing w:after="80" w:before="240"/>
      </w:pPr>
      <w:r>
        <w:rPr>
          <w:rFonts w:ascii="Malgun Gothic" w:cs="Malgun Gothic" w:eastAsia="Malgun Gothic" w:hAnsi="Malgun Gothic"/>
        </w:rPr>
        <w:t xml:space="preserve">Phase 1 포트폴리오  (6월 1일 ~ 7월 말)  |  위험자산 비중: 72%</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60"/>
        <w:gridCol w:w="5200"/>
      </w:tblGrid>
      <w:tr>
        <w:trPr>
          <w:tblHeader/>
        </w:trPr>
        <w:tc>
          <w:tcPr>
            <w:tcW w:type="dxa" w:w="2600"/>
            <w:tcBorders>
              <w:top w:val="single" w:color="BBBBBB" w:sz="1"/>
              <w:left w:val="single" w:color="BBBBBB" w:sz="1"/>
              <w:bottom w:val="single" w:color="BBBBBB" w:sz="1"/>
              <w:right w:val="single" w:color="BBBBBB" w:sz="1"/>
            </w:tcBorders>
            <w:shd w:fill="1B3A6B" w:val="clear"/>
            <w:tcMar>
              <w:top w:type="dxa" w:w="80"/>
              <w:left w:type="dxa" w:w="120"/>
              <w:bottom w:type="dxa" w:w="80"/>
              <w:right w:type="dxa" w:w="120"/>
            </w:tcMar>
            <w:vAlign w:val="center"/>
          </w:tcPr>
          <w:p>
            <w:pPr>
              <w:spacing w:after="0" w:before="0"/>
              <w:jc w:val="center"/>
            </w:pPr>
            <w:r>
              <w:rPr>
                <w:rFonts w:ascii="Malgun Gothic" w:cs="Malgun Gothic" w:eastAsia="Malgun Gothic" w:hAnsi="Malgun Gothic"/>
                <w:b/>
                <w:bCs/>
                <w:color w:val="FFFFFF"/>
                <w:sz w:val="19"/>
                <w:szCs w:val="19"/>
              </w:rPr>
              <w:t xml:space="preserve">자산군</w:t>
            </w:r>
          </w:p>
        </w:tc>
        <w:tc>
          <w:tcPr>
            <w:tcW w:type="dxa" w:w="1560"/>
            <w:tcBorders>
              <w:top w:val="single" w:color="BBBBBB" w:sz="1"/>
              <w:left w:val="single" w:color="BBBBBB" w:sz="1"/>
              <w:bottom w:val="single" w:color="BBBBBB" w:sz="1"/>
              <w:right w:val="single" w:color="BBBBBB" w:sz="1"/>
            </w:tcBorders>
            <w:shd w:fill="1B3A6B" w:val="clear"/>
            <w:tcMar>
              <w:top w:type="dxa" w:w="80"/>
              <w:left w:type="dxa" w:w="120"/>
              <w:bottom w:type="dxa" w:w="80"/>
              <w:right w:type="dxa" w:w="120"/>
            </w:tcMar>
            <w:vAlign w:val="center"/>
          </w:tcPr>
          <w:p>
            <w:pPr>
              <w:spacing w:after="0" w:before="0"/>
              <w:jc w:val="center"/>
            </w:pPr>
            <w:r>
              <w:rPr>
                <w:rFonts w:ascii="Malgun Gothic" w:cs="Malgun Gothic" w:eastAsia="Malgun Gothic" w:hAnsi="Malgun Gothic"/>
                <w:b/>
                <w:bCs/>
                <w:color w:val="FFFFFF"/>
                <w:sz w:val="19"/>
                <w:szCs w:val="19"/>
              </w:rPr>
              <w:t xml:space="preserve">비중</w:t>
            </w:r>
          </w:p>
        </w:tc>
        <w:tc>
          <w:tcPr>
            <w:tcW w:type="dxa" w:w="5200"/>
            <w:tcBorders>
              <w:top w:val="single" w:color="BBBBBB" w:sz="1"/>
              <w:left w:val="single" w:color="BBBBBB" w:sz="1"/>
              <w:bottom w:val="single" w:color="BBBBBB" w:sz="1"/>
              <w:right w:val="single" w:color="BBBBBB" w:sz="1"/>
            </w:tcBorders>
            <w:shd w:fill="1B3A6B" w:val="clear"/>
            <w:tcMar>
              <w:top w:type="dxa" w:w="80"/>
              <w:left w:type="dxa" w:w="120"/>
              <w:bottom w:type="dxa" w:w="80"/>
              <w:right w:type="dxa" w:w="120"/>
            </w:tcMar>
            <w:vAlign w:val="center"/>
          </w:tcPr>
          <w:p>
            <w:pPr>
              <w:spacing w:after="0" w:before="0"/>
              <w:jc w:val="center"/>
            </w:pPr>
            <w:r>
              <w:rPr>
                <w:rFonts w:ascii="Malgun Gothic" w:cs="Malgun Gothic" w:eastAsia="Malgun Gothic" w:hAnsi="Malgun Gothic"/>
                <w:b/>
                <w:bCs/>
                <w:color w:val="FFFFFF"/>
                <w:sz w:val="19"/>
                <w:szCs w:val="19"/>
              </w:rPr>
              <w:t xml:space="preserve">주요 상품 / 섹터</w:t>
            </w:r>
          </w:p>
        </w:tc>
      </w:tr>
      <w:tr>
        <w:tc>
          <w:tcPr>
            <w:tcW w:type="dxa" w:w="2600"/>
            <w:tcBorders>
              <w:top w:val="single" w:color="BBBBBB" w:sz="1"/>
              <w:left w:val="single" w:color="BBBBBB" w:sz="1"/>
              <w:bottom w:val="single" w:color="BBBBBB" w:sz="1"/>
              <w:right w:val="single" w:color="BBBBBB" w:sz="1"/>
            </w:tcBorders>
            <w:shd w:fill="F2F6FA" w:val="clear"/>
            <w:tcMar>
              <w:top w:type="dxa" w:w="80"/>
              <w:left w:type="dxa" w:w="120"/>
              <w:bottom w:type="dxa" w:w="80"/>
              <w:right w:type="dxa" w:w="120"/>
            </w:tcMar>
            <w:vAlign w:val="center"/>
          </w:tcPr>
          <w:p>
            <w:pPr>
              <w:spacing w:after="0" w:before="0"/>
              <w:jc w:val="left"/>
            </w:pPr>
            <w:r>
              <w:rPr>
                <w:rFonts w:ascii="Malgun Gothic" w:cs="Malgun Gothic" w:eastAsia="Malgun Gothic" w:hAnsi="Malgun Gothic"/>
                <w:b/>
                <w:bCs/>
                <w:color w:val="000000"/>
                <w:sz w:val="19"/>
                <w:szCs w:val="19"/>
              </w:rPr>
              <w:t xml:space="preserve">국내주식</w:t>
            </w:r>
          </w:p>
        </w:tc>
        <w:tc>
          <w:tcPr>
            <w:tcW w:type="dxa" w:w="1560"/>
            <w:tcBorders>
              <w:top w:val="single" w:color="BBBBBB" w:sz="1"/>
              <w:left w:val="single" w:color="BBBBBB" w:sz="1"/>
              <w:bottom w:val="single" w:color="BBBBBB" w:sz="1"/>
              <w:right w:val="single" w:color="BBBBBB" w:sz="1"/>
            </w:tcBorders>
            <w:shd w:fill="F2F6FA" w:val="clear"/>
            <w:tcMar>
              <w:top w:type="dxa" w:w="80"/>
              <w:left w:type="dxa" w:w="120"/>
              <w:bottom w:type="dxa" w:w="80"/>
              <w:right w:type="dxa" w:w="120"/>
            </w:tcMar>
            <w:vAlign w:val="center"/>
          </w:tcPr>
          <w:p>
            <w:pPr>
              <w:spacing w:after="0" w:before="0"/>
              <w:jc w:val="center"/>
            </w:pPr>
            <w:r>
              <w:rPr>
                <w:rFonts w:ascii="Malgun Gothic" w:cs="Malgun Gothic" w:eastAsia="Malgun Gothic" w:hAnsi="Malgun Gothic"/>
                <w:b/>
                <w:bCs/>
                <w:color w:val="1B3A6B"/>
                <w:sz w:val="19"/>
                <w:szCs w:val="19"/>
              </w:rPr>
              <w:t xml:space="preserve">40%</w:t>
            </w:r>
          </w:p>
        </w:tc>
        <w:tc>
          <w:tcPr>
            <w:tcW w:type="dxa" w:w="5200"/>
            <w:tcBorders>
              <w:top w:val="single" w:color="BBBBBB" w:sz="1"/>
              <w:left w:val="single" w:color="BBBBBB" w:sz="1"/>
              <w:bottom w:val="single" w:color="BBBBBB" w:sz="1"/>
              <w:right w:val="single" w:color="BBBBBB" w:sz="1"/>
            </w:tcBorders>
            <w:shd w:fill="F2F6FA" w:val="clear"/>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비반도체 주도주 (조선·방산·원전·기계), 금융 (은행·증권), 반도체 소부장</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해외주식 — 미국</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center"/>
            </w:pPr>
            <w:r>
              <w:rPr>
                <w:rFonts w:ascii="Malgun Gothic" w:cs="Malgun Gothic" w:eastAsia="Malgun Gothic" w:hAnsi="Malgun Gothic"/>
                <w:b w:val="false"/>
                <w:bCs w:val="false"/>
                <w:color w:val="000000"/>
                <w:sz w:val="19"/>
                <w:szCs w:val="19"/>
              </w:rPr>
              <w:t xml:space="preserve">20%</w:t>
            </w:r>
          </w:p>
        </w:tc>
        <w:tc>
          <w:tcPr>
            <w:tcW w:type="dxa" w:w="5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S.I.S.O 테마 (반도체 인프라·산업자동화·우주·온디바이스)</w:t>
            </w:r>
          </w:p>
        </w:tc>
      </w:tr>
      <w:tr>
        <w:tc>
          <w:tcPr>
            <w:tcW w:type="dxa" w:w="2600"/>
            <w:tcBorders>
              <w:top w:val="single" w:color="BBBBBB" w:sz="1"/>
              <w:left w:val="single" w:color="BBBBBB" w:sz="1"/>
              <w:bottom w:val="single" w:color="BBBBBB" w:sz="1"/>
              <w:right w:val="single" w:color="BBBBBB" w:sz="1"/>
            </w:tcBorders>
            <w:shd w:fill="F2F6FA" w:val="clear"/>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해외주식 — 중국</w:t>
            </w:r>
          </w:p>
        </w:tc>
        <w:tc>
          <w:tcPr>
            <w:tcW w:type="dxa" w:w="1560"/>
            <w:tcBorders>
              <w:top w:val="single" w:color="BBBBBB" w:sz="1"/>
              <w:left w:val="single" w:color="BBBBBB" w:sz="1"/>
              <w:bottom w:val="single" w:color="BBBBBB" w:sz="1"/>
              <w:right w:val="single" w:color="BBBBBB" w:sz="1"/>
            </w:tcBorders>
            <w:shd w:fill="F2F6FA" w:val="clear"/>
            <w:tcMar>
              <w:top w:type="dxa" w:w="80"/>
              <w:left w:type="dxa" w:w="120"/>
              <w:bottom w:type="dxa" w:w="80"/>
              <w:right w:type="dxa" w:w="120"/>
            </w:tcMar>
            <w:vAlign w:val="center"/>
          </w:tcPr>
          <w:p>
            <w:pPr>
              <w:spacing w:after="0" w:before="0"/>
              <w:jc w:val="center"/>
            </w:pPr>
            <w:r>
              <w:rPr>
                <w:rFonts w:ascii="Malgun Gothic" w:cs="Malgun Gothic" w:eastAsia="Malgun Gothic" w:hAnsi="Malgun Gothic"/>
                <w:b w:val="false"/>
                <w:bCs w:val="false"/>
                <w:color w:val="000000"/>
                <w:sz w:val="19"/>
                <w:szCs w:val="19"/>
              </w:rPr>
              <w:t xml:space="preserve">12%</w:t>
            </w:r>
          </w:p>
        </w:tc>
        <w:tc>
          <w:tcPr>
            <w:tcW w:type="dxa" w:w="5200"/>
            <w:tcBorders>
              <w:top w:val="single" w:color="BBBBBB" w:sz="1"/>
              <w:left w:val="single" w:color="BBBBBB" w:sz="1"/>
              <w:bottom w:val="single" w:color="BBBBBB" w:sz="1"/>
              <w:right w:val="single" w:color="BBBBBB" w:sz="1"/>
            </w:tcBorders>
            <w:shd w:fill="F2F6FA" w:val="clear"/>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CSI300/Star50 ETF, 반내권 시클리컬:테크 = 7:3</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국내채권</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center"/>
            </w:pPr>
            <w:r>
              <w:rPr>
                <w:rFonts w:ascii="Malgun Gothic" w:cs="Malgun Gothic" w:eastAsia="Malgun Gothic" w:hAnsi="Malgun Gothic"/>
                <w:b w:val="false"/>
                <w:bCs w:val="false"/>
                <w:color w:val="000000"/>
                <w:sz w:val="19"/>
                <w:szCs w:val="19"/>
              </w:rPr>
              <w:t xml:space="preserve">10%</w:t>
            </w:r>
          </w:p>
        </w:tc>
        <w:tc>
          <w:tcPr>
            <w:tcW w:type="dxa" w:w="5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단기물, 회사채·여전채</w:t>
            </w:r>
          </w:p>
        </w:tc>
      </w:tr>
      <w:tr>
        <w:tc>
          <w:tcPr>
            <w:tcW w:type="dxa" w:w="2600"/>
            <w:tcBorders>
              <w:top w:val="single" w:color="BBBBBB" w:sz="1"/>
              <w:left w:val="single" w:color="BBBBBB" w:sz="1"/>
              <w:bottom w:val="single" w:color="BBBBBB" w:sz="1"/>
              <w:right w:val="single" w:color="BBBBBB" w:sz="1"/>
            </w:tcBorders>
            <w:shd w:fill="F2F6FA" w:val="clear"/>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해외채권</w:t>
            </w:r>
          </w:p>
        </w:tc>
        <w:tc>
          <w:tcPr>
            <w:tcW w:type="dxa" w:w="1560"/>
            <w:tcBorders>
              <w:top w:val="single" w:color="BBBBBB" w:sz="1"/>
              <w:left w:val="single" w:color="BBBBBB" w:sz="1"/>
              <w:bottom w:val="single" w:color="BBBBBB" w:sz="1"/>
              <w:right w:val="single" w:color="BBBBBB" w:sz="1"/>
            </w:tcBorders>
            <w:shd w:fill="F2F6FA" w:val="clear"/>
            <w:tcMar>
              <w:top w:type="dxa" w:w="80"/>
              <w:left w:type="dxa" w:w="120"/>
              <w:bottom w:type="dxa" w:w="80"/>
              <w:right w:type="dxa" w:w="120"/>
            </w:tcMar>
            <w:vAlign w:val="center"/>
          </w:tcPr>
          <w:p>
            <w:pPr>
              <w:spacing w:after="0" w:before="0"/>
              <w:jc w:val="center"/>
            </w:pPr>
            <w:r>
              <w:rPr>
                <w:rFonts w:ascii="Malgun Gothic" w:cs="Malgun Gothic" w:eastAsia="Malgun Gothic" w:hAnsi="Malgun Gothic"/>
                <w:b w:val="false"/>
                <w:bCs w:val="false"/>
                <w:color w:val="000000"/>
                <w:sz w:val="19"/>
                <w:szCs w:val="19"/>
              </w:rPr>
              <w:t xml:space="preserve">5%</w:t>
            </w:r>
          </w:p>
        </w:tc>
        <w:tc>
          <w:tcPr>
            <w:tcW w:type="dxa" w:w="5200"/>
            <w:tcBorders>
              <w:top w:val="single" w:color="BBBBBB" w:sz="1"/>
              <w:left w:val="single" w:color="BBBBBB" w:sz="1"/>
              <w:bottom w:val="single" w:color="BBBBBB" w:sz="1"/>
              <w:right w:val="single" w:color="BBBBBB" w:sz="1"/>
            </w:tcBorders>
            <w:shd w:fill="F2F6FA" w:val="clear"/>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미국 IG 크레딧 단기물</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금리연계형·초단기</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center"/>
            </w:pPr>
            <w:r>
              <w:rPr>
                <w:rFonts w:ascii="Malgun Gothic" w:cs="Malgun Gothic" w:eastAsia="Malgun Gothic" w:hAnsi="Malgun Gothic"/>
                <w:b w:val="false"/>
                <w:bCs w:val="false"/>
                <w:color w:val="000000"/>
                <w:sz w:val="19"/>
                <w:szCs w:val="19"/>
              </w:rPr>
              <w:t xml:space="preserve">8%</w:t>
            </w:r>
          </w:p>
        </w:tc>
        <w:tc>
          <w:tcPr>
            <w:tcW w:type="dxa" w:w="5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MMF, 단기 국공채 ETF</w:t>
            </w:r>
          </w:p>
        </w:tc>
      </w:tr>
      <w:tr>
        <w:tc>
          <w:tcPr>
            <w:tcW w:type="dxa" w:w="2600"/>
            <w:tcBorders>
              <w:top w:val="single" w:color="BBBBBB" w:sz="1"/>
              <w:left w:val="single" w:color="BBBBBB" w:sz="1"/>
              <w:bottom w:val="single" w:color="BBBBBB" w:sz="1"/>
              <w:right w:val="single" w:color="BBBBBB" w:sz="1"/>
            </w:tcBorders>
            <w:shd w:fill="F2F6FA" w:val="clear"/>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원자재 (금)</w:t>
            </w:r>
          </w:p>
        </w:tc>
        <w:tc>
          <w:tcPr>
            <w:tcW w:type="dxa" w:w="1560"/>
            <w:tcBorders>
              <w:top w:val="single" w:color="BBBBBB" w:sz="1"/>
              <w:left w:val="single" w:color="BBBBBB" w:sz="1"/>
              <w:bottom w:val="single" w:color="BBBBBB" w:sz="1"/>
              <w:right w:val="single" w:color="BBBBBB" w:sz="1"/>
            </w:tcBorders>
            <w:shd w:fill="F2F6FA" w:val="clear"/>
            <w:tcMar>
              <w:top w:type="dxa" w:w="80"/>
              <w:left w:type="dxa" w:w="120"/>
              <w:bottom w:type="dxa" w:w="80"/>
              <w:right w:type="dxa" w:w="120"/>
            </w:tcMar>
            <w:vAlign w:val="center"/>
          </w:tcPr>
          <w:p>
            <w:pPr>
              <w:spacing w:after="0" w:before="0"/>
              <w:jc w:val="center"/>
            </w:pPr>
            <w:r>
              <w:rPr>
                <w:rFonts w:ascii="Malgun Gothic" w:cs="Malgun Gothic" w:eastAsia="Malgun Gothic" w:hAnsi="Malgun Gothic"/>
                <w:b w:val="false"/>
                <w:bCs w:val="false"/>
                <w:color w:val="000000"/>
                <w:sz w:val="19"/>
                <w:szCs w:val="19"/>
              </w:rPr>
              <w:t xml:space="preserve">5%</w:t>
            </w:r>
          </w:p>
        </w:tc>
        <w:tc>
          <w:tcPr>
            <w:tcW w:type="dxa" w:w="5200"/>
            <w:tcBorders>
              <w:top w:val="single" w:color="BBBBBB" w:sz="1"/>
              <w:left w:val="single" w:color="BBBBBB" w:sz="1"/>
              <w:bottom w:val="single" w:color="BBBBBB" w:sz="1"/>
              <w:right w:val="single" w:color="BBBBBB" w:sz="1"/>
            </w:tcBorders>
            <w:shd w:fill="F2F6FA" w:val="clear"/>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금 ETF — 헤지 포지션</w:t>
            </w:r>
          </w:p>
        </w:tc>
      </w:tr>
    </w:tbl>
    <w:p>
      <w:pPr>
        <w:spacing w:after="120" w:before="30"/>
        <w:jc w:val="center"/>
      </w:pPr>
      <w:r>
        <w:rPr>
          <w:rFonts w:ascii="Malgun Gothic" w:cs="Malgun Gothic" w:eastAsia="Malgun Gothic" w:hAnsi="Malgun Gothic"/>
          <w:i/>
          <w:iCs/>
          <w:color w:val="5E5E5E"/>
          <w:sz w:val="16"/>
          <w:szCs w:val="16"/>
        </w:rPr>
        <w:t xml:space="preserve">위험자산 합계 72% (국내주식 40% + 해외주식 미국 20% + 중국 12%)</w:t>
      </w:r>
    </w:p>
    <w:p>
      <w:pPr>
        <w:spacing w:before="100"/>
      </w:pPr>
    </w:p>
    <w:p>
      <w:pPr>
        <w:pStyle w:val="Heading2"/>
        <w:spacing w:after="80" w:before="240"/>
      </w:pPr>
      <w:r>
        <w:rPr>
          <w:rFonts w:ascii="Malgun Gothic" w:cs="Malgun Gothic" w:eastAsia="Malgun Gothic" w:hAnsi="Malgun Gothic"/>
        </w:rPr>
        <w:t xml:space="preserve">Phase 2 포트폴리오  (8월 1일 ~ 8월 31일)  |  위험자산 비중: 52%</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60"/>
        <w:gridCol w:w="5200"/>
      </w:tblGrid>
      <w:tr>
        <w:trPr>
          <w:tblHeader/>
        </w:trPr>
        <w:tc>
          <w:tcPr>
            <w:tcW w:type="dxa" w:w="2600"/>
            <w:tcBorders>
              <w:top w:val="single" w:color="BBBBBB" w:sz="1"/>
              <w:left w:val="single" w:color="BBBBBB" w:sz="1"/>
              <w:bottom w:val="single" w:color="BBBBBB" w:sz="1"/>
              <w:right w:val="single" w:color="BBBBBB" w:sz="1"/>
            </w:tcBorders>
            <w:shd w:fill="1B3A6B" w:val="clear"/>
            <w:tcMar>
              <w:top w:type="dxa" w:w="80"/>
              <w:left w:type="dxa" w:w="120"/>
              <w:bottom w:type="dxa" w:w="80"/>
              <w:right w:type="dxa" w:w="120"/>
            </w:tcMar>
            <w:vAlign w:val="center"/>
          </w:tcPr>
          <w:p>
            <w:pPr>
              <w:spacing w:after="0" w:before="0"/>
              <w:jc w:val="center"/>
            </w:pPr>
            <w:r>
              <w:rPr>
                <w:rFonts w:ascii="Malgun Gothic" w:cs="Malgun Gothic" w:eastAsia="Malgun Gothic" w:hAnsi="Malgun Gothic"/>
                <w:b/>
                <w:bCs/>
                <w:color w:val="FFFFFF"/>
                <w:sz w:val="19"/>
                <w:szCs w:val="19"/>
              </w:rPr>
              <w:t xml:space="preserve">자산군</w:t>
            </w:r>
          </w:p>
        </w:tc>
        <w:tc>
          <w:tcPr>
            <w:tcW w:type="dxa" w:w="1560"/>
            <w:tcBorders>
              <w:top w:val="single" w:color="BBBBBB" w:sz="1"/>
              <w:left w:val="single" w:color="BBBBBB" w:sz="1"/>
              <w:bottom w:val="single" w:color="BBBBBB" w:sz="1"/>
              <w:right w:val="single" w:color="BBBBBB" w:sz="1"/>
            </w:tcBorders>
            <w:shd w:fill="1B3A6B" w:val="clear"/>
            <w:tcMar>
              <w:top w:type="dxa" w:w="80"/>
              <w:left w:type="dxa" w:w="120"/>
              <w:bottom w:type="dxa" w:w="80"/>
              <w:right w:type="dxa" w:w="120"/>
            </w:tcMar>
            <w:vAlign w:val="center"/>
          </w:tcPr>
          <w:p>
            <w:pPr>
              <w:spacing w:after="0" w:before="0"/>
              <w:jc w:val="center"/>
            </w:pPr>
            <w:r>
              <w:rPr>
                <w:rFonts w:ascii="Malgun Gothic" w:cs="Malgun Gothic" w:eastAsia="Malgun Gothic" w:hAnsi="Malgun Gothic"/>
                <w:b/>
                <w:bCs/>
                <w:color w:val="FFFFFF"/>
                <w:sz w:val="19"/>
                <w:szCs w:val="19"/>
              </w:rPr>
              <w:t xml:space="preserve">비중</w:t>
            </w:r>
          </w:p>
        </w:tc>
        <w:tc>
          <w:tcPr>
            <w:tcW w:type="dxa" w:w="5200"/>
            <w:tcBorders>
              <w:top w:val="single" w:color="BBBBBB" w:sz="1"/>
              <w:left w:val="single" w:color="BBBBBB" w:sz="1"/>
              <w:bottom w:val="single" w:color="BBBBBB" w:sz="1"/>
              <w:right w:val="single" w:color="BBBBBB" w:sz="1"/>
            </w:tcBorders>
            <w:shd w:fill="1B3A6B" w:val="clear"/>
            <w:tcMar>
              <w:top w:type="dxa" w:w="80"/>
              <w:left w:type="dxa" w:w="120"/>
              <w:bottom w:type="dxa" w:w="80"/>
              <w:right w:type="dxa" w:w="120"/>
            </w:tcMar>
            <w:vAlign w:val="center"/>
          </w:tcPr>
          <w:p>
            <w:pPr>
              <w:spacing w:after="0" w:before="0"/>
              <w:jc w:val="center"/>
            </w:pPr>
            <w:r>
              <w:rPr>
                <w:rFonts w:ascii="Malgun Gothic" w:cs="Malgun Gothic" w:eastAsia="Malgun Gothic" w:hAnsi="Malgun Gothic"/>
                <w:b/>
                <w:bCs/>
                <w:color w:val="FFFFFF"/>
                <w:sz w:val="19"/>
                <w:szCs w:val="19"/>
              </w:rPr>
              <w:t xml:space="preserve">주요 상품 / 섹터</w:t>
            </w:r>
          </w:p>
        </w:tc>
      </w:tr>
      <w:tr>
        <w:tc>
          <w:tcPr>
            <w:tcW w:type="dxa" w:w="2600"/>
            <w:tcBorders>
              <w:top w:val="single" w:color="BBBBBB" w:sz="1"/>
              <w:left w:val="single" w:color="BBBBBB" w:sz="1"/>
              <w:bottom w:val="single" w:color="BBBBBB" w:sz="1"/>
              <w:right w:val="single" w:color="BBBBBB" w:sz="1"/>
            </w:tcBorders>
            <w:shd w:fill="F2F6FA" w:val="clear"/>
            <w:tcMar>
              <w:top w:type="dxa" w:w="80"/>
              <w:left w:type="dxa" w:w="120"/>
              <w:bottom w:type="dxa" w:w="80"/>
              <w:right w:type="dxa" w:w="120"/>
            </w:tcMar>
            <w:vAlign w:val="center"/>
          </w:tcPr>
          <w:p>
            <w:pPr>
              <w:spacing w:after="0" w:before="0"/>
              <w:jc w:val="left"/>
            </w:pPr>
            <w:r>
              <w:rPr>
                <w:rFonts w:ascii="Malgun Gothic" w:cs="Malgun Gothic" w:eastAsia="Malgun Gothic" w:hAnsi="Malgun Gothic"/>
                <w:b/>
                <w:bCs/>
                <w:color w:val="000000"/>
                <w:sz w:val="19"/>
                <w:szCs w:val="19"/>
              </w:rPr>
              <w:t xml:space="preserve">국내주식</w:t>
            </w:r>
          </w:p>
        </w:tc>
        <w:tc>
          <w:tcPr>
            <w:tcW w:type="dxa" w:w="1560"/>
            <w:tcBorders>
              <w:top w:val="single" w:color="BBBBBB" w:sz="1"/>
              <w:left w:val="single" w:color="BBBBBB" w:sz="1"/>
              <w:bottom w:val="single" w:color="BBBBBB" w:sz="1"/>
              <w:right w:val="single" w:color="BBBBBB" w:sz="1"/>
            </w:tcBorders>
            <w:shd w:fill="F2F6FA" w:val="clear"/>
            <w:tcMar>
              <w:top w:type="dxa" w:w="80"/>
              <w:left w:type="dxa" w:w="120"/>
              <w:bottom w:type="dxa" w:w="80"/>
              <w:right w:type="dxa" w:w="120"/>
            </w:tcMar>
            <w:vAlign w:val="center"/>
          </w:tcPr>
          <w:p>
            <w:pPr>
              <w:spacing w:after="0" w:before="0"/>
              <w:jc w:val="center"/>
            </w:pPr>
            <w:r>
              <w:rPr>
                <w:rFonts w:ascii="Malgun Gothic" w:cs="Malgun Gothic" w:eastAsia="Malgun Gothic" w:hAnsi="Malgun Gothic"/>
                <w:b/>
                <w:bCs/>
                <w:color w:val="C00000"/>
                <w:sz w:val="19"/>
                <w:szCs w:val="19"/>
              </w:rPr>
              <w:t xml:space="preserve">25%</w:t>
            </w:r>
          </w:p>
        </w:tc>
        <w:tc>
          <w:tcPr>
            <w:tcW w:type="dxa" w:w="5200"/>
            <w:tcBorders>
              <w:top w:val="single" w:color="BBBBBB" w:sz="1"/>
              <w:left w:val="single" w:color="BBBBBB" w:sz="1"/>
              <w:bottom w:val="single" w:color="BBBBBB" w:sz="1"/>
              <w:right w:val="single" w:color="BBBBBB" w:sz="1"/>
            </w:tcBorders>
            <w:shd w:fill="F2F6FA" w:val="clear"/>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가치주(금융) 중심 축소. 방산·원전 일부 유지</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해외주식 — 미국</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center"/>
            </w:pPr>
            <w:r>
              <w:rPr>
                <w:rFonts w:ascii="Malgun Gothic" w:cs="Malgun Gothic" w:eastAsia="Malgun Gothic" w:hAnsi="Malgun Gothic"/>
                <w:b w:val="false"/>
                <w:bCs w:val="false"/>
                <w:color w:val="C00000"/>
                <w:sz w:val="19"/>
                <w:szCs w:val="19"/>
              </w:rPr>
              <w:t xml:space="preserve">15%</w:t>
            </w:r>
          </w:p>
        </w:tc>
        <w:tc>
          <w:tcPr>
            <w:tcW w:type="dxa" w:w="5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S.I.S.O 중 인프라/산업자동화 위주 압축</w:t>
            </w:r>
          </w:p>
        </w:tc>
      </w:tr>
      <w:tr>
        <w:tc>
          <w:tcPr>
            <w:tcW w:type="dxa" w:w="2600"/>
            <w:tcBorders>
              <w:top w:val="single" w:color="BBBBBB" w:sz="1"/>
              <w:left w:val="single" w:color="BBBBBB" w:sz="1"/>
              <w:bottom w:val="single" w:color="BBBBBB" w:sz="1"/>
              <w:right w:val="single" w:color="BBBBBB" w:sz="1"/>
            </w:tcBorders>
            <w:shd w:fill="F2F6FA" w:val="clear"/>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해외주식 — 중국</w:t>
            </w:r>
          </w:p>
        </w:tc>
        <w:tc>
          <w:tcPr>
            <w:tcW w:type="dxa" w:w="1560"/>
            <w:tcBorders>
              <w:top w:val="single" w:color="BBBBBB" w:sz="1"/>
              <w:left w:val="single" w:color="BBBBBB" w:sz="1"/>
              <w:bottom w:val="single" w:color="BBBBBB" w:sz="1"/>
              <w:right w:val="single" w:color="BBBBBB" w:sz="1"/>
            </w:tcBorders>
            <w:shd w:fill="F2F6FA" w:val="clear"/>
            <w:tcMar>
              <w:top w:type="dxa" w:w="80"/>
              <w:left w:type="dxa" w:w="120"/>
              <w:bottom w:type="dxa" w:w="80"/>
              <w:right w:type="dxa" w:w="120"/>
            </w:tcMar>
            <w:vAlign w:val="center"/>
          </w:tcPr>
          <w:p>
            <w:pPr>
              <w:spacing w:after="0" w:before="0"/>
              <w:jc w:val="center"/>
            </w:pPr>
            <w:r>
              <w:rPr>
                <w:rFonts w:ascii="Malgun Gothic" w:cs="Malgun Gothic" w:eastAsia="Malgun Gothic" w:hAnsi="Malgun Gothic"/>
                <w:b w:val="false"/>
                <w:bCs w:val="false"/>
                <w:color w:val="000000"/>
                <w:sz w:val="19"/>
                <w:szCs w:val="19"/>
              </w:rPr>
              <w:t xml:space="preserve">12%</w:t>
            </w:r>
          </w:p>
        </w:tc>
        <w:tc>
          <w:tcPr>
            <w:tcW w:type="dxa" w:w="5200"/>
            <w:tcBorders>
              <w:top w:val="single" w:color="BBBBBB" w:sz="1"/>
              <w:left w:val="single" w:color="BBBBBB" w:sz="1"/>
              <w:bottom w:val="single" w:color="BBBBBB" w:sz="1"/>
              <w:right w:val="single" w:color="BBBBBB" w:sz="1"/>
            </w:tcBorders>
            <w:shd w:fill="F2F6FA" w:val="clear"/>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CSI300 ETF 유지 (대비 매크로 리스크 낮음)</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국내채권</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center"/>
            </w:pPr>
            <w:r>
              <w:rPr>
                <w:rFonts w:ascii="Malgun Gothic" w:cs="Malgun Gothic" w:eastAsia="Malgun Gothic" w:hAnsi="Malgun Gothic"/>
                <w:b/>
                <w:bCs/>
                <w:color w:val="00897B"/>
                <w:sz w:val="19"/>
                <w:szCs w:val="19"/>
              </w:rPr>
              <w:t xml:space="preserve">20%</w:t>
            </w:r>
          </w:p>
        </w:tc>
        <w:tc>
          <w:tcPr>
            <w:tcW w:type="dxa" w:w="5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단기물 중심 확대, 회사채 유지</w:t>
            </w:r>
          </w:p>
        </w:tc>
      </w:tr>
      <w:tr>
        <w:tc>
          <w:tcPr>
            <w:tcW w:type="dxa" w:w="2600"/>
            <w:tcBorders>
              <w:top w:val="single" w:color="BBBBBB" w:sz="1"/>
              <w:left w:val="single" w:color="BBBBBB" w:sz="1"/>
              <w:bottom w:val="single" w:color="BBBBBB" w:sz="1"/>
              <w:right w:val="single" w:color="BBBBBB" w:sz="1"/>
            </w:tcBorders>
            <w:shd w:fill="F2F6FA" w:val="clear"/>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해외채권</w:t>
            </w:r>
          </w:p>
        </w:tc>
        <w:tc>
          <w:tcPr>
            <w:tcW w:type="dxa" w:w="1560"/>
            <w:tcBorders>
              <w:top w:val="single" w:color="BBBBBB" w:sz="1"/>
              <w:left w:val="single" w:color="BBBBBB" w:sz="1"/>
              <w:bottom w:val="single" w:color="BBBBBB" w:sz="1"/>
              <w:right w:val="single" w:color="BBBBBB" w:sz="1"/>
            </w:tcBorders>
            <w:shd w:fill="F2F6FA" w:val="clear"/>
            <w:tcMar>
              <w:top w:type="dxa" w:w="80"/>
              <w:left w:type="dxa" w:w="120"/>
              <w:bottom w:type="dxa" w:w="80"/>
              <w:right w:type="dxa" w:w="120"/>
            </w:tcMar>
            <w:vAlign w:val="center"/>
          </w:tcPr>
          <w:p>
            <w:pPr>
              <w:spacing w:after="0" w:before="0"/>
              <w:jc w:val="center"/>
            </w:pPr>
            <w:r>
              <w:rPr>
                <w:rFonts w:ascii="Malgun Gothic" w:cs="Malgun Gothic" w:eastAsia="Malgun Gothic" w:hAnsi="Malgun Gothic"/>
                <w:b w:val="false"/>
                <w:bCs w:val="false"/>
                <w:color w:val="000000"/>
                <w:sz w:val="19"/>
                <w:szCs w:val="19"/>
              </w:rPr>
              <w:t xml:space="preserve">5%</w:t>
            </w:r>
          </w:p>
        </w:tc>
        <w:tc>
          <w:tcPr>
            <w:tcW w:type="dxa" w:w="5200"/>
            <w:tcBorders>
              <w:top w:val="single" w:color="BBBBBB" w:sz="1"/>
              <w:left w:val="single" w:color="BBBBBB" w:sz="1"/>
              <w:bottom w:val="single" w:color="BBBBBB" w:sz="1"/>
              <w:right w:val="single" w:color="BBBBBB" w:sz="1"/>
            </w:tcBorders>
            <w:shd w:fill="F2F6FA" w:val="clear"/>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미국 IG 크레딧 유지</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금리연계형·초단기</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center"/>
            </w:pPr>
            <w:r>
              <w:rPr>
                <w:rFonts w:ascii="Malgun Gothic" w:cs="Malgun Gothic" w:eastAsia="Malgun Gothic" w:hAnsi="Malgun Gothic"/>
                <w:b/>
                <w:bCs/>
                <w:color w:val="00897B"/>
                <w:sz w:val="19"/>
                <w:szCs w:val="19"/>
              </w:rPr>
              <w:t xml:space="preserve">18%</w:t>
            </w:r>
          </w:p>
        </w:tc>
        <w:tc>
          <w:tcPr>
            <w:tcW w:type="dxa" w:w="5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MMF·단기 국공채 ETF 확대 (1차 수용처)</w:t>
            </w:r>
          </w:p>
        </w:tc>
      </w:tr>
      <w:tr>
        <w:tc>
          <w:tcPr>
            <w:tcW w:type="dxa" w:w="2600"/>
            <w:tcBorders>
              <w:top w:val="single" w:color="BBBBBB" w:sz="1"/>
              <w:left w:val="single" w:color="BBBBBB" w:sz="1"/>
              <w:bottom w:val="single" w:color="BBBBBB" w:sz="1"/>
              <w:right w:val="single" w:color="BBBBBB" w:sz="1"/>
            </w:tcBorders>
            <w:shd w:fill="F2F6FA" w:val="clear"/>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원자재 (금)</w:t>
            </w:r>
          </w:p>
        </w:tc>
        <w:tc>
          <w:tcPr>
            <w:tcW w:type="dxa" w:w="1560"/>
            <w:tcBorders>
              <w:top w:val="single" w:color="BBBBBB" w:sz="1"/>
              <w:left w:val="single" w:color="BBBBBB" w:sz="1"/>
              <w:bottom w:val="single" w:color="BBBBBB" w:sz="1"/>
              <w:right w:val="single" w:color="BBBBBB" w:sz="1"/>
            </w:tcBorders>
            <w:shd w:fill="F2F6FA" w:val="clear"/>
            <w:tcMar>
              <w:top w:type="dxa" w:w="80"/>
              <w:left w:type="dxa" w:w="120"/>
              <w:bottom w:type="dxa" w:w="80"/>
              <w:right w:type="dxa" w:w="120"/>
            </w:tcMar>
            <w:vAlign w:val="center"/>
          </w:tcPr>
          <w:p>
            <w:pPr>
              <w:spacing w:after="0" w:before="0"/>
              <w:jc w:val="center"/>
            </w:pPr>
            <w:r>
              <w:rPr>
                <w:rFonts w:ascii="Malgun Gothic" w:cs="Malgun Gothic" w:eastAsia="Malgun Gothic" w:hAnsi="Malgun Gothic"/>
                <w:b w:val="false"/>
                <w:bCs w:val="false"/>
                <w:color w:val="000000"/>
                <w:sz w:val="19"/>
                <w:szCs w:val="19"/>
              </w:rPr>
              <w:t xml:space="preserve">5%</w:t>
            </w:r>
          </w:p>
        </w:tc>
        <w:tc>
          <w:tcPr>
            <w:tcW w:type="dxa" w:w="5200"/>
            <w:tcBorders>
              <w:top w:val="single" w:color="BBBBBB" w:sz="1"/>
              <w:left w:val="single" w:color="BBBBBB" w:sz="1"/>
              <w:bottom w:val="single" w:color="BBBBBB" w:sz="1"/>
              <w:right w:val="single" w:color="BBBBBB" w:sz="1"/>
            </w:tcBorders>
            <w:shd w:fill="F2F6FA" w:val="clear"/>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헤지 포지션 유지</w:t>
            </w:r>
          </w:p>
        </w:tc>
      </w:tr>
    </w:tbl>
    <w:p>
      <w:pPr>
        <w:spacing w:after="120" w:before="30"/>
        <w:jc w:val="center"/>
      </w:pPr>
      <w:r>
        <w:rPr>
          <w:rFonts w:ascii="Malgun Gothic" w:cs="Malgun Gothic" w:eastAsia="Malgun Gothic" w:hAnsi="Malgun Gothic"/>
          <w:i/>
          <w:iCs/>
          <w:color w:val="5E5E5E"/>
          <w:sz w:val="16"/>
          <w:szCs w:val="16"/>
        </w:rPr>
        <w:t xml:space="preserve">위험자산 합계 52% (Phase 1 대비 -20%p 축소, 안전자산으로 이동)</w:t>
      </w:r>
    </w:p>
    <w:p>
      <w:pPr>
        <w:spacing w:after="0"/>
      </w:pPr>
      <w:r>
        <w:br w:type="page"/>
      </w:r>
    </w:p>
    <w:p>
      <w:pPr>
        <w:pStyle w:val="Heading1"/>
        <w:pBdr>
          <w:bottom w:val="single" w:color="2E75B6" w:sz="6" w:space="1"/>
        </w:pBdr>
        <w:spacing w:after="120" w:before="360"/>
      </w:pPr>
      <w:r>
        <w:rPr>
          <w:rFonts w:ascii="Malgun Gothic" w:cs="Malgun Gothic" w:eastAsia="Malgun Gothic" w:hAnsi="Malgun Gothic"/>
        </w:rPr>
        <w:t xml:space="preserve">4.  섹터별 투자전략 세부</w:t>
      </w:r>
    </w:p>
    <w:p>
      <w:pPr>
        <w:pStyle w:val="Heading2"/>
        <w:spacing w:after="80" w:before="240"/>
      </w:pPr>
      <w:r>
        <w:rPr>
          <w:rFonts w:ascii="Malgun Gothic" w:cs="Malgun Gothic" w:eastAsia="Malgun Gothic" w:hAnsi="Malgun Gothic"/>
        </w:rPr>
        <w:t xml:space="preserve">① 국내 비반도체 주도주  (Phase 1 핵심 알파)</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rPr>
          <w:tblHeader/>
        </w:trPr>
        <w:tc>
          <w:tcPr>
            <w:tcW w:type="dxa" w:w="1560"/>
            <w:tcBorders>
              <w:top w:val="single" w:color="BBBBBB" w:sz="1"/>
              <w:left w:val="single" w:color="BBBBBB" w:sz="1"/>
              <w:bottom w:val="single" w:color="BBBBBB" w:sz="1"/>
              <w:right w:val="single" w:color="BBBBBB" w:sz="1"/>
            </w:tcBorders>
            <w:shd w:fill="1B3A6B" w:val="clear"/>
            <w:tcMar>
              <w:top w:type="dxa" w:w="80"/>
              <w:left w:type="dxa" w:w="120"/>
              <w:bottom w:type="dxa" w:w="80"/>
              <w:right w:type="dxa" w:w="120"/>
            </w:tcMar>
            <w:vAlign w:val="center"/>
          </w:tcPr>
          <w:p>
            <w:pPr>
              <w:spacing w:after="0" w:before="0"/>
              <w:jc w:val="center"/>
            </w:pPr>
            <w:r>
              <w:rPr>
                <w:rFonts w:ascii="Malgun Gothic" w:cs="Malgun Gothic" w:eastAsia="Malgun Gothic" w:hAnsi="Malgun Gothic"/>
                <w:b/>
                <w:bCs/>
                <w:color w:val="FFFFFF"/>
                <w:sz w:val="19"/>
                <w:szCs w:val="19"/>
              </w:rPr>
              <w:t xml:space="preserve">섹터</w:t>
            </w:r>
          </w:p>
        </w:tc>
        <w:tc>
          <w:tcPr>
            <w:tcW w:type="dxa" w:w="3900"/>
            <w:tcBorders>
              <w:top w:val="single" w:color="BBBBBB" w:sz="1"/>
              <w:left w:val="single" w:color="BBBBBB" w:sz="1"/>
              <w:bottom w:val="single" w:color="BBBBBB" w:sz="1"/>
              <w:right w:val="single" w:color="BBBBBB" w:sz="1"/>
            </w:tcBorders>
            <w:shd w:fill="1B3A6B" w:val="clear"/>
            <w:tcMar>
              <w:top w:type="dxa" w:w="80"/>
              <w:left w:type="dxa" w:w="120"/>
              <w:bottom w:type="dxa" w:w="80"/>
              <w:right w:type="dxa" w:w="120"/>
            </w:tcMar>
            <w:vAlign w:val="center"/>
          </w:tcPr>
          <w:p>
            <w:pPr>
              <w:spacing w:after="0" w:before="0"/>
              <w:jc w:val="center"/>
            </w:pPr>
            <w:r>
              <w:rPr>
                <w:rFonts w:ascii="Malgun Gothic" w:cs="Malgun Gothic" w:eastAsia="Malgun Gothic" w:hAnsi="Malgun Gothic"/>
                <w:b/>
                <w:bCs/>
                <w:color w:val="FFFFFF"/>
                <w:sz w:val="19"/>
                <w:szCs w:val="19"/>
              </w:rPr>
              <w:t xml:space="preserve">투자 근거</w:t>
            </w:r>
          </w:p>
        </w:tc>
        <w:tc>
          <w:tcPr>
            <w:tcW w:type="dxa" w:w="3900"/>
            <w:tcBorders>
              <w:top w:val="single" w:color="BBBBBB" w:sz="1"/>
              <w:left w:val="single" w:color="BBBBBB" w:sz="1"/>
              <w:bottom w:val="single" w:color="BBBBBB" w:sz="1"/>
              <w:right w:val="single" w:color="BBBBBB" w:sz="1"/>
            </w:tcBorders>
            <w:shd w:fill="1B3A6B" w:val="clear"/>
            <w:tcMar>
              <w:top w:type="dxa" w:w="80"/>
              <w:left w:type="dxa" w:w="120"/>
              <w:bottom w:type="dxa" w:w="80"/>
              <w:right w:type="dxa" w:w="120"/>
            </w:tcMar>
            <w:vAlign w:val="center"/>
          </w:tcPr>
          <w:p>
            <w:pPr>
              <w:spacing w:after="0" w:before="0"/>
              <w:jc w:val="center"/>
            </w:pPr>
            <w:r>
              <w:rPr>
                <w:rFonts w:ascii="Malgun Gothic" w:cs="Malgun Gothic" w:eastAsia="Malgun Gothic" w:hAnsi="Malgun Gothic"/>
                <w:b/>
                <w:bCs/>
                <w:color w:val="FFFFFF"/>
                <w:sz w:val="19"/>
                <w:szCs w:val="19"/>
              </w:rPr>
              <w:t xml:space="preserve">모멘텀 촉매</w:t>
            </w:r>
          </w:p>
        </w:tc>
      </w:tr>
      <w:tr>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조선</w:t>
            </w:r>
          </w:p>
        </w:tc>
        <w:tc>
          <w:tcPr>
            <w:tcW w:type="dxa" w:w="39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글로벌 수주잔량 5.1년치(2009년래 최고), 점유율 66.8%. MASGA 정책 + LNG 수출 인프라 확대 수혜</w:t>
            </w:r>
          </w:p>
        </w:tc>
        <w:tc>
          <w:tcPr>
            <w:tcW w:type="dxa" w:w="39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미국 LNG 수출터미널 발주, 친환경 선박 교체 사이클</w:t>
            </w:r>
          </w:p>
        </w:tc>
      </w:tr>
      <w:tr>
        <w:tc>
          <w:tcPr>
            <w:tcW w:type="dxa" w:w="1560"/>
            <w:tcBorders>
              <w:top w:val="single" w:color="BBBBBB" w:sz="1"/>
              <w:left w:val="single" w:color="BBBBBB" w:sz="1"/>
              <w:bottom w:val="single" w:color="BBBBBB" w:sz="1"/>
              <w:right w:val="single" w:color="BBBBBB" w:sz="1"/>
            </w:tcBorders>
            <w:shd w:fill="D9E6F2" w:val="clear"/>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방산</w:t>
            </w:r>
          </w:p>
        </w:tc>
        <w:tc>
          <w:tcPr>
            <w:tcW w:type="dxa" w:w="3900"/>
            <w:tcBorders>
              <w:top w:val="single" w:color="BBBBBB" w:sz="1"/>
              <w:left w:val="single" w:color="BBBBBB" w:sz="1"/>
              <w:bottom w:val="single" w:color="BBBBBB" w:sz="1"/>
              <w:right w:val="single" w:color="BBBBBB" w:sz="1"/>
            </w:tcBorders>
            <w:shd w:fill="D9E6F2" w:val="clear"/>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이란 전쟁 이후 GCC 국방비 증가, 글로벌 재무장 사이클 가속</w:t>
            </w:r>
          </w:p>
        </w:tc>
        <w:tc>
          <w:tcPr>
            <w:tcW w:type="dxa" w:w="3900"/>
            <w:tcBorders>
              <w:top w:val="single" w:color="BBBBBB" w:sz="1"/>
              <w:left w:val="single" w:color="BBBBBB" w:sz="1"/>
              <w:bottom w:val="single" w:color="BBBBBB" w:sz="1"/>
              <w:right w:val="single" w:color="BBBBBB" w:sz="1"/>
            </w:tcBorders>
            <w:shd w:fill="D9E6F2" w:val="clear"/>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수주 잔고 확대, 수출 다변화(유럽·중동)</w:t>
            </w:r>
          </w:p>
        </w:tc>
      </w:tr>
      <w:tr>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원전</w:t>
            </w:r>
          </w:p>
        </w:tc>
        <w:tc>
          <w:tcPr>
            <w:tcW w:type="dxa" w:w="39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AI 데이터센터 전력 급증, 에너지 안보 재편으로 구조적 성장</w:t>
            </w:r>
          </w:p>
        </w:tc>
        <w:tc>
          <w:tcPr>
            <w:tcW w:type="dxa" w:w="39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신규 원전 계획 발표, SMR 수출 계약</w:t>
            </w:r>
          </w:p>
        </w:tc>
      </w:tr>
      <w:tr>
        <w:tc>
          <w:tcPr>
            <w:tcW w:type="dxa" w:w="1560"/>
            <w:tcBorders>
              <w:top w:val="single" w:color="BBBBBB" w:sz="1"/>
              <w:left w:val="single" w:color="BBBBBB" w:sz="1"/>
              <w:bottom w:val="single" w:color="BBBBBB" w:sz="1"/>
              <w:right w:val="single" w:color="BBBBBB" w:sz="1"/>
            </w:tcBorders>
            <w:shd w:fill="D9E6F2" w:val="clear"/>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기계·로봇</w:t>
            </w:r>
          </w:p>
        </w:tc>
        <w:tc>
          <w:tcPr>
            <w:tcW w:type="dxa" w:w="3900"/>
            <w:tcBorders>
              <w:top w:val="single" w:color="BBBBBB" w:sz="1"/>
              <w:left w:val="single" w:color="BBBBBB" w:sz="1"/>
              <w:bottom w:val="single" w:color="BBBBBB" w:sz="1"/>
              <w:right w:val="single" w:color="BBBBBB" w:sz="1"/>
            </w:tcBorders>
            <w:shd w:fill="D9E6F2" w:val="clear"/>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피지컬 AI 확산, 공장 자동화 수요 증가</w:t>
            </w:r>
          </w:p>
        </w:tc>
        <w:tc>
          <w:tcPr>
            <w:tcW w:type="dxa" w:w="3900"/>
            <w:tcBorders>
              <w:top w:val="single" w:color="BBBBBB" w:sz="1"/>
              <w:left w:val="single" w:color="BBBBBB" w:sz="1"/>
              <w:bottom w:val="single" w:color="BBBBBB" w:sz="1"/>
              <w:right w:val="single" w:color="BBBBBB" w:sz="1"/>
            </w:tcBorders>
            <w:shd w:fill="D9E6F2" w:val="clear"/>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삼성·현대 자동화 투자, 해외 수주</w:t>
            </w:r>
          </w:p>
        </w:tc>
      </w:tr>
    </w:tbl>
    <w:p>
      <w:pPr>
        <w:spacing w:after="120" w:before="30"/>
        <w:jc w:val="center"/>
      </w:pPr>
      <w:r>
        <w:rPr>
          <w:rFonts w:ascii="Malgun Gothic" w:cs="Malgun Gothic" w:eastAsia="Malgun Gothic" w:hAnsi="Malgun Gothic"/>
          <w:i/>
          <w:iCs/>
          <w:color w:val="5E5E5E"/>
          <w:sz w:val="16"/>
          <w:szCs w:val="16"/>
        </w:rPr>
        <w:t xml:space="preserve">출처: RFS 분석 / 하나증권 복합 참조</w:t>
      </w:r>
    </w:p>
    <w:p>
      <w:pPr>
        <w:spacing w:before="100"/>
      </w:pPr>
    </w:p>
    <w:p>
      <w:pPr>
        <w:pStyle w:val="Heading2"/>
        <w:spacing w:after="80" w:before="240"/>
      </w:pPr>
      <w:r>
        <w:rPr>
          <w:rFonts w:ascii="Malgun Gothic" w:cs="Malgun Gothic" w:eastAsia="Malgun Gothic" w:hAnsi="Malgun Gothic"/>
        </w:rPr>
        <w:t xml:space="preserve">② 국내 가치주 — 금융  (Phase 2 방어적 알파)</w:t>
      </w:r>
    </w:p>
    <w:p>
      <w:pPr>
        <w:pStyle w:val="ListParagraph"/>
        <w:numPr>
          <w:ilvl w:val="0"/>
          <w:numId w:val="2"/>
        </w:numPr>
        <w:spacing w:after="30" w:before="30" w:line="300" w:lineRule="auto"/>
      </w:pPr>
      <w:r>
        <w:rPr>
          <w:rFonts w:ascii="Malgun Gothic" w:cs="Malgun Gothic" w:eastAsia="Malgun Gothic" w:hAnsi="Malgun Gothic"/>
          <w:sz w:val="20"/>
          <w:szCs w:val="20"/>
        </w:rPr>
        <w:t xml:space="preserve">은행: 한국 기준금리 인상(3Q 25bp)으로 NIM 개선. 이익 모멘텀 지속</w:t>
      </w:r>
    </w:p>
    <w:p>
      <w:pPr>
        <w:pStyle w:val="ListParagraph"/>
        <w:numPr>
          <w:ilvl w:val="0"/>
          <w:numId w:val="2"/>
        </w:numPr>
        <w:spacing w:after="30" w:before="30" w:line="300" w:lineRule="auto"/>
      </w:pPr>
      <w:r>
        <w:rPr>
          <w:rFonts w:ascii="Malgun Gothic" w:cs="Malgun Gothic" w:eastAsia="Malgun Gothic" w:hAnsi="Malgun Gothic"/>
          <w:sz w:val="20"/>
          <w:szCs w:val="20"/>
        </w:rPr>
        <w:t xml:space="preserve">증권: 증시 활성화 정책(상법 개정, 배당 확대), DC·IRP·ISA 중장기 자금 구조적 유입</w:t>
      </w:r>
    </w:p>
    <w:p>
      <w:pPr>
        <w:pStyle w:val="ListParagraph"/>
        <w:numPr>
          <w:ilvl w:val="0"/>
          <w:numId w:val="2"/>
        </w:numPr>
        <w:spacing w:after="30" w:before="30" w:line="300" w:lineRule="auto"/>
      </w:pPr>
      <w:r>
        <w:rPr>
          <w:rFonts w:ascii="Malgun Gothic" w:cs="Malgun Gothic" w:eastAsia="Malgun Gothic" w:hAnsi="Malgun Gothic"/>
          <w:sz w:val="20"/>
          <w:szCs w:val="20"/>
        </w:rPr>
        <w:t xml:space="preserve">Phase 2에서 위험자산 비중 축소 시 수익률 하방을 지지하는 포지션으로 활용</w:t>
      </w:r>
    </w:p>
    <w:p>
      <w:pPr>
        <w:spacing w:before="80"/>
      </w:pPr>
    </w:p>
    <w:p>
      <w:pPr>
        <w:pStyle w:val="Heading2"/>
        <w:spacing w:after="80" w:before="240"/>
      </w:pPr>
      <w:r>
        <w:rPr>
          <w:rFonts w:ascii="Malgun Gothic" w:cs="Malgun Gothic" w:eastAsia="Malgun Gothic" w:hAnsi="Malgun Gothic"/>
        </w:rPr>
        <w:t xml:space="preserve">③ 반도체 소부장  (시장비중 대응, Phase 1 유지)</w:t>
      </w:r>
    </w:p>
    <w:p>
      <w:pPr>
        <w:pStyle w:val="ListParagraph"/>
        <w:numPr>
          <w:ilvl w:val="0"/>
          <w:numId w:val="2"/>
        </w:numPr>
        <w:spacing w:after="30" w:before="30" w:line="300" w:lineRule="auto"/>
      </w:pPr>
      <w:r>
        <w:rPr>
          <w:rFonts w:ascii="Malgun Gothic" w:cs="Malgun Gothic" w:eastAsia="Malgun Gothic" w:hAnsi="Malgun Gothic"/>
          <w:sz w:val="20"/>
          <w:szCs w:val="20"/>
        </w:rPr>
        <w:t xml:space="preserve">삼성전자·SK하이닉스: 2Q가 YoY 증가율 정점, 3Q부터 QoQ 모멘텀 현저히 둔화</w:t>
      </w:r>
    </w:p>
    <w:p>
      <w:pPr>
        <w:pStyle w:val="ListParagraph"/>
        <w:numPr>
          <w:ilvl w:val="0"/>
          <w:numId w:val="2"/>
        </w:numPr>
        <w:spacing w:after="30" w:before="30" w:line="300" w:lineRule="auto"/>
      </w:pPr>
      <w:r>
        <w:rPr>
          <w:rFonts w:ascii="Malgun Gothic" w:cs="Malgun Gothic" w:eastAsia="Malgun Gothic" w:hAnsi="Malgun Gothic"/>
          <w:sz w:val="20"/>
          <w:szCs w:val="20"/>
        </w:rPr>
        <w:t xml:space="preserve">소부장: HBM 공정 난이도 상승, 평택 4공장·M15X 증설 직접 수혜. 이익 모멘텀 상대적으로 더 길다</w:t>
      </w:r>
    </w:p>
    <w:p>
      <w:pPr>
        <w:pStyle w:val="ListParagraph"/>
        <w:numPr>
          <w:ilvl w:val="0"/>
          <w:numId w:val="2"/>
        </w:numPr>
        <w:spacing w:after="30" w:before="30" w:line="300" w:lineRule="auto"/>
      </w:pPr>
      <w:r>
        <w:rPr>
          <w:rFonts w:ascii="Malgun Gothic" w:cs="Malgun Gothic" w:eastAsia="Malgun Gothic" w:hAnsi="Malgun Gothic"/>
          <w:sz w:val="20"/>
          <w:szCs w:val="20"/>
        </w:rPr>
        <w:t xml:space="preserve">Phase 1 기간 내 비중 유지 → Phase 2 전환 시 함께 축소</w:t>
      </w:r>
    </w:p>
    <w:p>
      <w:pPr>
        <w:spacing w:before="80"/>
      </w:pPr>
    </w:p>
    <w:p>
      <w:pPr>
        <w:pStyle w:val="Heading2"/>
        <w:spacing w:after="80" w:before="240"/>
      </w:pPr>
      <w:r>
        <w:rPr>
          <w:rFonts w:ascii="Malgun Gothic" w:cs="Malgun Gothic" w:eastAsia="Malgun Gothic" w:hAnsi="Malgun Gothic"/>
        </w:rPr>
        <w:t xml:space="preserve">④ 미국 S.I.S.O  (Phase 1 유지, Phase 2 인프라/산업자동화 압축)</w:t>
      </w:r>
    </w:p>
    <w:p>
      <w:pPr>
        <w:pStyle w:val="ListParagraph"/>
        <w:numPr>
          <w:ilvl w:val="0"/>
          <w:numId w:val="2"/>
        </w:numPr>
        <w:spacing w:after="30" w:before="30" w:line="300" w:lineRule="auto"/>
      </w:pPr>
      <w:r>
        <w:rPr>
          <w:rFonts w:ascii="Malgun Gothic" w:cs="Malgun Gothic" w:eastAsia="Malgun Gothic" w:hAnsi="Malgun Gothic"/>
          <w:sz w:val="20"/>
          <w:szCs w:val="20"/>
        </w:rPr>
        <w:t xml:space="preserve">반도체 인프라(NVDA·AMAT 등): HBM·DRAM 공급 부족 환경 2027년 상반기까지 지속 전망</w:t>
      </w:r>
    </w:p>
    <w:p>
      <w:pPr>
        <w:pStyle w:val="ListParagraph"/>
        <w:numPr>
          <w:ilvl w:val="0"/>
          <w:numId w:val="2"/>
        </w:numPr>
        <w:spacing w:after="30" w:before="30" w:line="300" w:lineRule="auto"/>
      </w:pPr>
      <w:r>
        <w:rPr>
          <w:rFonts w:ascii="Malgun Gothic" w:cs="Malgun Gothic" w:eastAsia="Malgun Gothic" w:hAnsi="Malgun Gothic"/>
          <w:sz w:val="20"/>
          <w:szCs w:val="20"/>
        </w:rPr>
        <w:t xml:space="preserve">Phase 2: 27년 Capex 둔화 우려 선반영 리스크 고려해 비중 축소</w:t>
      </w:r>
    </w:p>
    <w:p>
      <w:pPr>
        <w:pStyle w:val="ListParagraph"/>
        <w:numPr>
          <w:ilvl w:val="0"/>
          <w:numId w:val="2"/>
        </w:numPr>
        <w:spacing w:after="30" w:before="30" w:line="300" w:lineRule="auto"/>
      </w:pPr>
      <w:r>
        <w:rPr>
          <w:rFonts w:ascii="Malgun Gothic" w:cs="Malgun Gothic" w:eastAsia="Malgun Gothic" w:hAnsi="Malgun Gothic"/>
          <w:sz w:val="20"/>
          <w:szCs w:val="20"/>
        </w:rPr>
        <w:t xml:space="preserve">인프라·산업자동화(방산 낙수효과, LNG 인프라 수혜)는 상대적으로 안정적이어서 유지</w:t>
      </w:r>
    </w:p>
    <w:p>
      <w:pPr>
        <w:spacing w:before="80"/>
      </w:pPr>
    </w:p>
    <w:p>
      <w:pPr>
        <w:pStyle w:val="Heading2"/>
        <w:spacing w:after="80" w:before="240"/>
      </w:pPr>
      <w:r>
        <w:rPr>
          <w:rFonts w:ascii="Malgun Gothic" w:cs="Malgun Gothic" w:eastAsia="Malgun Gothic" w:hAnsi="Malgun Gothic"/>
        </w:rPr>
        <w:t xml:space="preserve">⑤ 중국 ETF  (Phase 1·2 모두 12% 유지)</w:t>
      </w:r>
    </w:p>
    <w:p>
      <w:pPr>
        <w:pStyle w:val="ListParagraph"/>
        <w:numPr>
          <w:ilvl w:val="0"/>
          <w:numId w:val="2"/>
        </w:numPr>
        <w:spacing w:after="30" w:before="30" w:line="300" w:lineRule="auto"/>
      </w:pPr>
      <w:r>
        <w:rPr>
          <w:rFonts w:ascii="Malgun Gothic" w:cs="Malgun Gothic" w:eastAsia="Malgun Gothic" w:hAnsi="Malgun Gothic"/>
          <w:sz w:val="20"/>
          <w:szCs w:val="20"/>
        </w:rPr>
        <w:t xml:space="preserve">PPI 상승 사이클 모멘텀(MoM) 정점 6~7월로 예상 → 실적 장세 본격화</w:t>
      </w:r>
    </w:p>
    <w:p>
      <w:pPr>
        <w:pStyle w:val="ListParagraph"/>
        <w:numPr>
          <w:ilvl w:val="0"/>
          <w:numId w:val="2"/>
        </w:numPr>
        <w:spacing w:after="30" w:before="30" w:line="300" w:lineRule="auto"/>
      </w:pPr>
      <w:r>
        <w:rPr>
          <w:rFonts w:ascii="Malgun Gothic" w:cs="Malgun Gothic" w:eastAsia="Malgun Gothic" w:hAnsi="Malgun Gothic"/>
          <w:sz w:val="20"/>
          <w:szCs w:val="20"/>
        </w:rPr>
        <w:t xml:space="preserve">하나증권: 중국 2026년 분기 성장률 4.8~5.2% 안정적 유지, 글로벌 수출시장 점유율 14.8%로 상승세</w:t>
      </w:r>
    </w:p>
    <w:p>
      <w:pPr>
        <w:pStyle w:val="ListParagraph"/>
        <w:numPr>
          <w:ilvl w:val="0"/>
          <w:numId w:val="2"/>
        </w:numPr>
        <w:spacing w:after="30" w:before="30" w:line="300" w:lineRule="auto"/>
      </w:pPr>
      <w:r>
        <w:rPr>
          <w:rFonts w:ascii="Malgun Gothic" w:cs="Malgun Gothic" w:eastAsia="Malgun Gothic" w:hAnsi="Malgun Gothic"/>
          <w:sz w:val="20"/>
          <w:szCs w:val="20"/>
        </w:rPr>
        <w:t xml:space="preserve">반내권 테마(시클리컬):테크(AI응용) = 7:3 비중 배분. 본토(CSI300, Star50) &gt; 홍콩(항셍테크) 우위</w:t>
      </w:r>
    </w:p>
    <w:p>
      <w:pPr>
        <w:spacing w:before="80"/>
      </w:pPr>
    </w:p>
    <w:p>
      <w:pPr>
        <w:pStyle w:val="Heading2"/>
        <w:spacing w:after="80" w:before="240"/>
      </w:pPr>
      <w:r>
        <w:rPr>
          <w:rFonts w:ascii="Malgun Gothic" w:cs="Malgun Gothic" w:eastAsia="Malgun Gothic" w:hAnsi="Malgun Gothic"/>
        </w:rPr>
        <w:t xml:space="preserve">⑥ 금  (운용 기간 내 5% 헤지 유지)</w:t>
      </w:r>
    </w:p>
    <w:p>
      <w:pPr>
        <w:pStyle w:val="ListParagraph"/>
        <w:numPr>
          <w:ilvl w:val="0"/>
          <w:numId w:val="2"/>
        </w:numPr>
        <w:spacing w:after="30" w:before="30" w:line="300" w:lineRule="auto"/>
      </w:pPr>
      <w:r>
        <w:rPr>
          <w:rFonts w:ascii="Malgun Gothic" w:cs="Malgun Gothic" w:eastAsia="Malgun Gothic" w:hAnsi="Malgun Gothic"/>
          <w:sz w:val="20"/>
          <w:szCs w:val="20"/>
        </w:rPr>
        <w:t xml:space="preserve">이란 사태 지정학 불안 미해소 + 잭슨홀 이후 금리 불확실성 재부각</w:t>
      </w:r>
    </w:p>
    <w:p>
      <w:pPr>
        <w:pStyle w:val="ListParagraph"/>
        <w:numPr>
          <w:ilvl w:val="0"/>
          <w:numId w:val="2"/>
        </w:numPr>
        <w:spacing w:after="30" w:before="30" w:line="300" w:lineRule="auto"/>
      </w:pPr>
      <w:r>
        <w:rPr>
          <w:rFonts w:ascii="Malgun Gothic" w:cs="Malgun Gothic" w:eastAsia="Malgun Gothic" w:hAnsi="Malgun Gothic"/>
          <w:sz w:val="20"/>
          <w:szCs w:val="20"/>
        </w:rPr>
        <w:t xml:space="preserve">하나증권: 금 하반기 밴드 $4,100~$5,300/oz. 달러 약세·연준 인하 기대가 상승 지지</w:t>
      </w:r>
    </w:p>
    <w:p>
      <w:pPr>
        <w:pStyle w:val="ListParagraph"/>
        <w:numPr>
          <w:ilvl w:val="0"/>
          <w:numId w:val="2"/>
        </w:numPr>
        <w:spacing w:after="30" w:before="30" w:line="300" w:lineRule="auto"/>
      </w:pPr>
      <w:r>
        <w:rPr>
          <w:rFonts w:ascii="Malgun Gothic" w:cs="Malgun Gothic" w:eastAsia="Malgun Gothic" w:hAnsi="Malgun Gothic"/>
          <w:sz w:val="20"/>
          <w:szCs w:val="20"/>
        </w:rPr>
        <w:t xml:space="preserve">중앙은행 구조적 매입 기조(중국·러시아 등 신흥국) 하방 지지</w:t>
      </w:r>
    </w:p>
    <w:p>
      <w:pPr>
        <w:spacing w:after="0"/>
      </w:pPr>
      <w:r>
        <w:br w:type="page"/>
      </w:r>
    </w:p>
    <w:p>
      <w:pPr>
        <w:pStyle w:val="Heading1"/>
        <w:pBdr>
          <w:bottom w:val="single" w:color="2E75B6" w:sz="6" w:space="1"/>
        </w:pBdr>
        <w:spacing w:after="120" w:before="360"/>
      </w:pPr>
      <w:r>
        <w:rPr>
          <w:rFonts w:ascii="Malgun Gothic" w:cs="Malgun Gothic" w:eastAsia="Malgun Gothic" w:hAnsi="Malgun Gothic"/>
        </w:rPr>
        <w:t xml:space="preserve">5.  리스크 관리 전략</w:t>
      </w:r>
    </w:p>
    <w:p>
      <w:pPr>
        <w:pStyle w:val="Heading2"/>
        <w:spacing w:after="80" w:before="240"/>
      </w:pPr>
      <w:r>
        <w:rPr>
          <w:rFonts w:ascii="Malgun Gothic" w:cs="Malgun Gothic" w:eastAsia="Malgun Gothic" w:hAnsi="Malgun Gothic"/>
        </w:rPr>
        <w:t xml:space="preserve">① Phase 조기 전환 트리거  (아래 2개 이상 동시 충족 시 즉시 전환)</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BBBBB" w:sz="1"/>
              <w:left w:val="single" w:color="BBBBBB" w:sz="1"/>
              <w:bottom w:val="single" w:color="BBBBBB" w:sz="1"/>
              <w:right w:val="single" w:color="BBBBBB" w:sz="1"/>
            </w:tcBorders>
            <w:shd w:fill="1B3A6B" w:val="clear"/>
            <w:tcMar>
              <w:top w:type="dxa" w:w="80"/>
              <w:left w:type="dxa" w:w="120"/>
              <w:bottom w:type="dxa" w:w="80"/>
              <w:right w:type="dxa" w:w="120"/>
            </w:tcMar>
            <w:vAlign w:val="center"/>
          </w:tcPr>
          <w:p>
            <w:pPr>
              <w:spacing w:after="0" w:before="0"/>
              <w:jc w:val="center"/>
            </w:pPr>
            <w:r>
              <w:rPr>
                <w:rFonts w:ascii="Malgun Gothic" w:cs="Malgun Gothic" w:eastAsia="Malgun Gothic" w:hAnsi="Malgun Gothic"/>
                <w:b/>
                <w:bCs/>
                <w:color w:val="FFFFFF"/>
                <w:sz w:val="19"/>
                <w:szCs w:val="19"/>
              </w:rPr>
              <w:t xml:space="preserve">트리거 지표</w:t>
            </w:r>
          </w:p>
        </w:tc>
        <w:tc>
          <w:tcPr>
            <w:tcW w:type="dxa" w:w="6240"/>
            <w:tcBorders>
              <w:top w:val="single" w:color="BBBBBB" w:sz="1"/>
              <w:left w:val="single" w:color="BBBBBB" w:sz="1"/>
              <w:bottom w:val="single" w:color="BBBBBB" w:sz="1"/>
              <w:right w:val="single" w:color="BBBBBB" w:sz="1"/>
            </w:tcBorders>
            <w:shd w:fill="1B3A6B" w:val="clear"/>
            <w:tcMar>
              <w:top w:type="dxa" w:w="80"/>
              <w:left w:type="dxa" w:w="120"/>
              <w:bottom w:type="dxa" w:w="80"/>
              <w:right w:type="dxa" w:w="120"/>
            </w:tcMar>
            <w:vAlign w:val="center"/>
          </w:tcPr>
          <w:p>
            <w:pPr>
              <w:spacing w:after="0" w:before="0"/>
              <w:jc w:val="center"/>
            </w:pPr>
            <w:r>
              <w:rPr>
                <w:rFonts w:ascii="Malgun Gothic" w:cs="Malgun Gothic" w:eastAsia="Malgun Gothic" w:hAnsi="Malgun Gothic"/>
                <w:b/>
                <w:bCs/>
                <w:color w:val="FFFFFF"/>
                <w:sz w:val="19"/>
                <w:szCs w:val="19"/>
              </w:rPr>
              <w:t xml:space="preserve">기준</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삼성전자·SK하이닉스 실적 가이던스</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2Q 컨센서스 하회 또는 3Q 가이던스 하향</w:t>
            </w:r>
          </w:p>
        </w:tc>
      </w:tr>
      <w:tr>
        <w:tc>
          <w:tcPr>
            <w:tcW w:type="dxa" w:w="3120"/>
            <w:tcBorders>
              <w:top w:val="single" w:color="BBBBBB" w:sz="1"/>
              <w:left w:val="single" w:color="BBBBBB" w:sz="1"/>
              <w:bottom w:val="single" w:color="BBBBBB" w:sz="1"/>
              <w:right w:val="single" w:color="BBBBBB" w:sz="1"/>
            </w:tcBorders>
            <w:shd w:fill="D9E6F2" w:val="clear"/>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미국 빅테크 Capex 가이던스</w:t>
            </w:r>
          </w:p>
        </w:tc>
        <w:tc>
          <w:tcPr>
            <w:tcW w:type="dxa" w:w="6240"/>
            <w:tcBorders>
              <w:top w:val="single" w:color="BBBBBB" w:sz="1"/>
              <w:left w:val="single" w:color="BBBBBB" w:sz="1"/>
              <w:bottom w:val="single" w:color="BBBBBB" w:sz="1"/>
              <w:right w:val="single" w:color="BBBBBB" w:sz="1"/>
            </w:tcBorders>
            <w:shd w:fill="D9E6F2" w:val="clear"/>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27년 투자 증가율 하향 발언 명시</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달러인덱스</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장기 추세선 돌파 상승 전환 확인</w:t>
            </w:r>
          </w:p>
        </w:tc>
      </w:tr>
      <w:tr>
        <w:tc>
          <w:tcPr>
            <w:tcW w:type="dxa" w:w="3120"/>
            <w:tcBorders>
              <w:top w:val="single" w:color="BBBBBB" w:sz="1"/>
              <w:left w:val="single" w:color="BBBBBB" w:sz="1"/>
              <w:bottom w:val="single" w:color="BBBBBB" w:sz="1"/>
              <w:right w:val="single" w:color="BBBBBB" w:sz="1"/>
            </w:tcBorders>
            <w:shd w:fill="D9E6F2" w:val="clear"/>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FedWatch 27년 3월 인상 확률</w:t>
            </w:r>
          </w:p>
        </w:tc>
        <w:tc>
          <w:tcPr>
            <w:tcW w:type="dxa" w:w="6240"/>
            <w:tcBorders>
              <w:top w:val="single" w:color="BBBBBB" w:sz="1"/>
              <w:left w:val="single" w:color="BBBBBB" w:sz="1"/>
              <w:bottom w:val="single" w:color="BBBBBB" w:sz="1"/>
              <w:right w:val="single" w:color="BBBBBB" w:sz="1"/>
            </w:tcBorders>
            <w:shd w:fill="D9E6F2" w:val="clear"/>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50% 돌파</w:t>
            </w:r>
          </w:p>
        </w:tc>
      </w:tr>
    </w:tbl>
    <w:p>
      <w:pPr>
        <w:spacing w:after="120" w:before="30"/>
        <w:jc w:val="center"/>
      </w:pPr>
      <w:r>
        <w:rPr>
          <w:rFonts w:ascii="Malgun Gothic" w:cs="Malgun Gothic" w:eastAsia="Malgun Gothic" w:hAnsi="Malgun Gothic"/>
          <w:i/>
          <w:iCs/>
          <w:color w:val="5E5E5E"/>
          <w:sz w:val="16"/>
          <w:szCs w:val="16"/>
        </w:rPr>
        <w:t xml:space="preserve">트리거 2개 이상 동시 충족 → 8월 이전이라도 Phase 2 조기 전환</w:t>
      </w:r>
    </w:p>
    <w:p>
      <w:pPr>
        <w:spacing w:before="100"/>
      </w:pPr>
    </w:p>
    <w:p>
      <w:pPr>
        <w:pStyle w:val="Heading2"/>
        <w:spacing w:after="80" w:before="240"/>
      </w:pPr>
      <w:r>
        <w:rPr>
          <w:rFonts w:ascii="Malgun Gothic" w:cs="Malgun Gothic" w:eastAsia="Malgun Gothic" w:hAnsi="Malgun Gothic"/>
        </w:rPr>
        <w:t xml:space="preserve">② 시나리오별 대응</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
        <w:gridCol w:w="2800"/>
        <w:gridCol w:w="4220"/>
      </w:tblGrid>
      <w:tr>
        <w:trPr>
          <w:tblHeader/>
        </w:trPr>
        <w:tc>
          <w:tcPr>
            <w:tcW w:type="dxa" w:w="1560"/>
            <w:tcBorders>
              <w:top w:val="single" w:color="BBBBBB" w:sz="1"/>
              <w:left w:val="single" w:color="BBBBBB" w:sz="1"/>
              <w:bottom w:val="single" w:color="BBBBBB" w:sz="1"/>
              <w:right w:val="single" w:color="BBBBBB" w:sz="1"/>
            </w:tcBorders>
            <w:shd w:fill="1B3A6B" w:val="clear"/>
            <w:tcMar>
              <w:top w:type="dxa" w:w="80"/>
              <w:left w:type="dxa" w:w="120"/>
              <w:bottom w:type="dxa" w:w="80"/>
              <w:right w:type="dxa" w:w="120"/>
            </w:tcMar>
            <w:vAlign w:val="center"/>
          </w:tcPr>
          <w:p>
            <w:pPr>
              <w:spacing w:after="0" w:before="0"/>
              <w:jc w:val="center"/>
            </w:pPr>
            <w:r>
              <w:rPr>
                <w:rFonts w:ascii="Malgun Gothic" w:cs="Malgun Gothic" w:eastAsia="Malgun Gothic" w:hAnsi="Malgun Gothic"/>
                <w:b/>
                <w:bCs/>
                <w:color w:val="FFFFFF"/>
                <w:sz w:val="19"/>
                <w:szCs w:val="19"/>
              </w:rPr>
              <w:t xml:space="preserve">시나리오</w:t>
            </w:r>
          </w:p>
        </w:tc>
        <w:tc>
          <w:tcPr>
            <w:tcW w:type="dxa" w:w="780"/>
            <w:tcBorders>
              <w:top w:val="single" w:color="BBBBBB" w:sz="1"/>
              <w:left w:val="single" w:color="BBBBBB" w:sz="1"/>
              <w:bottom w:val="single" w:color="BBBBBB" w:sz="1"/>
              <w:right w:val="single" w:color="BBBBBB" w:sz="1"/>
            </w:tcBorders>
            <w:shd w:fill="1B3A6B" w:val="clear"/>
            <w:tcMar>
              <w:top w:type="dxa" w:w="80"/>
              <w:left w:type="dxa" w:w="120"/>
              <w:bottom w:type="dxa" w:w="80"/>
              <w:right w:type="dxa" w:w="120"/>
            </w:tcMar>
            <w:vAlign w:val="center"/>
          </w:tcPr>
          <w:p>
            <w:pPr>
              <w:spacing w:after="0" w:before="0"/>
              <w:jc w:val="center"/>
            </w:pPr>
            <w:r>
              <w:rPr>
                <w:rFonts w:ascii="Malgun Gothic" w:cs="Malgun Gothic" w:eastAsia="Malgun Gothic" w:hAnsi="Malgun Gothic"/>
                <w:b/>
                <w:bCs/>
                <w:color w:val="FFFFFF"/>
                <w:sz w:val="19"/>
                <w:szCs w:val="19"/>
              </w:rPr>
              <w:t xml:space="preserve">확률</w:t>
            </w:r>
          </w:p>
        </w:tc>
        <w:tc>
          <w:tcPr>
            <w:tcW w:type="dxa" w:w="2800"/>
            <w:tcBorders>
              <w:top w:val="single" w:color="BBBBBB" w:sz="1"/>
              <w:left w:val="single" w:color="BBBBBB" w:sz="1"/>
              <w:bottom w:val="single" w:color="BBBBBB" w:sz="1"/>
              <w:right w:val="single" w:color="BBBBBB" w:sz="1"/>
            </w:tcBorders>
            <w:shd w:fill="1B3A6B" w:val="clear"/>
            <w:tcMar>
              <w:top w:type="dxa" w:w="80"/>
              <w:left w:type="dxa" w:w="120"/>
              <w:bottom w:type="dxa" w:w="80"/>
              <w:right w:type="dxa" w:w="120"/>
            </w:tcMar>
            <w:vAlign w:val="center"/>
          </w:tcPr>
          <w:p>
            <w:pPr>
              <w:spacing w:after="0" w:before="0"/>
              <w:jc w:val="center"/>
            </w:pPr>
            <w:r>
              <w:rPr>
                <w:rFonts w:ascii="Malgun Gothic" w:cs="Malgun Gothic" w:eastAsia="Malgun Gothic" w:hAnsi="Malgun Gothic"/>
                <w:b/>
                <w:bCs/>
                <w:color w:val="FFFFFF"/>
                <w:sz w:val="19"/>
                <w:szCs w:val="19"/>
              </w:rPr>
              <w:t xml:space="preserve">주요 시그널</w:t>
            </w:r>
          </w:p>
        </w:tc>
        <w:tc>
          <w:tcPr>
            <w:tcW w:type="dxa" w:w="4220"/>
            <w:tcBorders>
              <w:top w:val="single" w:color="BBBBBB" w:sz="1"/>
              <w:left w:val="single" w:color="BBBBBB" w:sz="1"/>
              <w:bottom w:val="single" w:color="BBBBBB" w:sz="1"/>
              <w:right w:val="single" w:color="BBBBBB" w:sz="1"/>
            </w:tcBorders>
            <w:shd w:fill="1B3A6B" w:val="clear"/>
            <w:tcMar>
              <w:top w:type="dxa" w:w="80"/>
              <w:left w:type="dxa" w:w="120"/>
              <w:bottom w:type="dxa" w:w="80"/>
              <w:right w:type="dxa" w:w="120"/>
            </w:tcMar>
            <w:vAlign w:val="center"/>
          </w:tcPr>
          <w:p>
            <w:pPr>
              <w:spacing w:after="0" w:before="0"/>
              <w:jc w:val="center"/>
            </w:pPr>
            <w:r>
              <w:rPr>
                <w:rFonts w:ascii="Malgun Gothic" w:cs="Malgun Gothic" w:eastAsia="Malgun Gothic" w:hAnsi="Malgun Gothic"/>
                <w:b/>
                <w:bCs/>
                <w:color w:val="FFFFFF"/>
                <w:sz w:val="19"/>
                <w:szCs w:val="19"/>
              </w:rPr>
              <w:t xml:space="preserve">포트폴리오 대응</w:t>
            </w:r>
          </w:p>
        </w:tc>
      </w:tr>
      <w:tr>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기본
(Summer Rally 지속)</w:t>
            </w:r>
          </w:p>
        </w:tc>
        <w:tc>
          <w:tcPr>
            <w:tcW w:type="dxa" w:w="78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45%</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2Q 어닝 서프라이즈 + Capex 유지 + 잭슨홀 중립</w:t>
            </w:r>
          </w:p>
        </w:tc>
        <w:tc>
          <w:tcPr>
            <w:tcW w:type="dxa" w:w="422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Phase 1 비중 7월 말까지 유지 후 Phase 2 전환</w:t>
            </w:r>
          </w:p>
        </w:tc>
      </w:tr>
      <w:tr>
        <w:tc>
          <w:tcPr>
            <w:tcW w:type="dxa" w:w="1560"/>
            <w:tcBorders>
              <w:top w:val="single" w:color="BBBBBB" w:sz="1"/>
              <w:left w:val="single" w:color="BBBBBB" w:sz="1"/>
              <w:bottom w:val="single" w:color="BBBBBB" w:sz="1"/>
              <w:right w:val="single" w:color="BBBBBB" w:sz="1"/>
            </w:tcBorders>
            <w:shd w:fill="D9E6F2" w:val="clear"/>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중립
(조기 변동성 확대)</w:t>
            </w:r>
          </w:p>
        </w:tc>
        <w:tc>
          <w:tcPr>
            <w:tcW w:type="dxa" w:w="780"/>
            <w:tcBorders>
              <w:top w:val="single" w:color="BBBBBB" w:sz="1"/>
              <w:left w:val="single" w:color="BBBBBB" w:sz="1"/>
              <w:bottom w:val="single" w:color="BBBBBB" w:sz="1"/>
              <w:right w:val="single" w:color="BBBBBB" w:sz="1"/>
            </w:tcBorders>
            <w:shd w:fill="D9E6F2" w:val="clear"/>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35%</w:t>
            </w:r>
          </w:p>
        </w:tc>
        <w:tc>
          <w:tcPr>
            <w:tcW w:type="dxa" w:w="2800"/>
            <w:tcBorders>
              <w:top w:val="single" w:color="BBBBBB" w:sz="1"/>
              <w:left w:val="single" w:color="BBBBBB" w:sz="1"/>
              <w:bottom w:val="single" w:color="BBBBBB" w:sz="1"/>
              <w:right w:val="single" w:color="BBBBBB" w:sz="1"/>
            </w:tcBorders>
            <w:shd w:fill="D9E6F2" w:val="clear"/>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7월 실적 기대 이하, OECD CLI 피크 신호 조기 출현</w:t>
            </w:r>
          </w:p>
        </w:tc>
        <w:tc>
          <w:tcPr>
            <w:tcW w:type="dxa" w:w="4220"/>
            <w:tcBorders>
              <w:top w:val="single" w:color="BBBBBB" w:sz="1"/>
              <w:left w:val="single" w:color="BBBBBB" w:sz="1"/>
              <w:bottom w:val="single" w:color="BBBBBB" w:sz="1"/>
              <w:right w:val="single" w:color="BBBBBB" w:sz="1"/>
            </w:tcBorders>
            <w:shd w:fill="D9E6F2" w:val="clear"/>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7월 중순부터 Phase 2 조기 전환</w:t>
            </w:r>
          </w:p>
        </w:tc>
      </w:tr>
      <w:tr>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서브
(잭슨홀 매파 충격)</w:t>
            </w:r>
          </w:p>
        </w:tc>
        <w:tc>
          <w:tcPr>
            <w:tcW w:type="dxa" w:w="78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20%</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케빈 워시 27년 인상 명시적 시사, 달러 급등</w:t>
            </w:r>
          </w:p>
        </w:tc>
        <w:tc>
          <w:tcPr>
            <w:tcW w:type="dxa" w:w="422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8월 1일부터 위험자산 즉시 40% 이하 압축, 단기채·금 확대</w:t>
            </w:r>
          </w:p>
        </w:tc>
      </w:tr>
    </w:tbl>
    <w:p>
      <w:pPr>
        <w:spacing w:after="120" w:before="30"/>
        <w:jc w:val="center"/>
      </w:pPr>
      <w:r>
        <w:rPr>
          <w:rFonts w:ascii="Malgun Gothic" w:cs="Malgun Gothic" w:eastAsia="Malgun Gothic" w:hAnsi="Malgun Gothic"/>
          <w:i/>
          <w:iCs/>
          <w:color w:val="5E5E5E"/>
          <w:sz w:val="16"/>
          <w:szCs w:val="16"/>
        </w:rPr>
        <w:t xml:space="preserve">확률은 RFS 분석 기준이며 이벤트 전개에 따라 실시간 조정</w:t>
      </w:r>
    </w:p>
    <w:p>
      <w:pPr>
        <w:spacing w:before="100"/>
      </w:pPr>
    </w:p>
    <w:p>
      <w:pPr>
        <w:pStyle w:val="Heading2"/>
        <w:spacing w:after="80" w:before="240"/>
      </w:pPr>
      <w:r>
        <w:rPr>
          <w:rFonts w:ascii="Malgun Gothic" w:cs="Malgun Gothic" w:eastAsia="Malgun Gothic" w:hAnsi="Malgun Gothic"/>
        </w:rPr>
        <w:t xml:space="preserve">③ 비투자 자산군 및 제외 이유</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BBBBBB" w:sz="1"/>
              <w:left w:val="single" w:color="BBBBBB" w:sz="1"/>
              <w:bottom w:val="single" w:color="BBBBBB" w:sz="1"/>
              <w:right w:val="single" w:color="BBBBBB" w:sz="1"/>
            </w:tcBorders>
            <w:shd w:fill="1B3A6B" w:val="clear"/>
            <w:tcMar>
              <w:top w:type="dxa" w:w="80"/>
              <w:left w:type="dxa" w:w="120"/>
              <w:bottom w:type="dxa" w:w="80"/>
              <w:right w:type="dxa" w:w="120"/>
            </w:tcMar>
            <w:vAlign w:val="center"/>
          </w:tcPr>
          <w:p>
            <w:pPr>
              <w:spacing w:after="0" w:before="0"/>
              <w:jc w:val="center"/>
            </w:pPr>
            <w:r>
              <w:rPr>
                <w:rFonts w:ascii="Malgun Gothic" w:cs="Malgun Gothic" w:eastAsia="Malgun Gothic" w:hAnsi="Malgun Gothic"/>
                <w:b/>
                <w:bCs/>
                <w:color w:val="FFFFFF"/>
                <w:sz w:val="19"/>
                <w:szCs w:val="19"/>
              </w:rPr>
              <w:t xml:space="preserve">자산군</w:t>
            </w:r>
          </w:p>
        </w:tc>
        <w:tc>
          <w:tcPr>
            <w:tcW w:type="dxa" w:w="7020"/>
            <w:tcBorders>
              <w:top w:val="single" w:color="BBBBBB" w:sz="1"/>
              <w:left w:val="single" w:color="BBBBBB" w:sz="1"/>
              <w:bottom w:val="single" w:color="BBBBBB" w:sz="1"/>
              <w:right w:val="single" w:color="BBBBBB" w:sz="1"/>
            </w:tcBorders>
            <w:shd w:fill="1B3A6B" w:val="clear"/>
            <w:tcMar>
              <w:top w:type="dxa" w:w="80"/>
              <w:left w:type="dxa" w:w="120"/>
              <w:bottom w:type="dxa" w:w="80"/>
              <w:right w:type="dxa" w:w="120"/>
            </w:tcMar>
            <w:vAlign w:val="center"/>
          </w:tcPr>
          <w:p>
            <w:pPr>
              <w:spacing w:after="0" w:before="0"/>
              <w:jc w:val="center"/>
            </w:pPr>
            <w:r>
              <w:rPr>
                <w:rFonts w:ascii="Malgun Gothic" w:cs="Malgun Gothic" w:eastAsia="Malgun Gothic" w:hAnsi="Malgun Gothic"/>
                <w:b/>
                <w:bCs/>
                <w:color w:val="FFFFFF"/>
                <w:sz w:val="19"/>
                <w:szCs w:val="19"/>
              </w:rPr>
              <w:t xml:space="preserve">투자 제외 이유</w:t>
            </w:r>
          </w:p>
        </w:tc>
      </w:tr>
      <w:tr>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부동산·리츠</w:t>
            </w:r>
          </w:p>
        </w:tc>
        <w:tc>
          <w:tcPr>
            <w:tcW w:type="dxa" w:w="702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금리인상 사이클에서 투자 매력 저하. 3개월 운용 기간 내 수익 실현 어려움</w:t>
            </w:r>
          </w:p>
        </w:tc>
      </w:tr>
      <w:tr>
        <w:tc>
          <w:tcPr>
            <w:tcW w:type="dxa" w:w="2340"/>
            <w:tcBorders>
              <w:top w:val="single" w:color="BBBBBB" w:sz="1"/>
              <w:left w:val="single" w:color="BBBBBB" w:sz="1"/>
              <w:bottom w:val="single" w:color="BBBBBB" w:sz="1"/>
              <w:right w:val="single" w:color="BBBBBB" w:sz="1"/>
            </w:tcBorders>
            <w:shd w:fill="D9E6F2" w:val="clear"/>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원유 선물 직접</w:t>
            </w:r>
          </w:p>
        </w:tc>
        <w:tc>
          <w:tcPr>
            <w:tcW w:type="dxa" w:w="7020"/>
            <w:tcBorders>
              <w:top w:val="single" w:color="BBBBBB" w:sz="1"/>
              <w:left w:val="single" w:color="BBBBBB" w:sz="1"/>
              <w:bottom w:val="single" w:color="BBBBBB" w:sz="1"/>
              <w:right w:val="single" w:color="BBBBBB" w:sz="1"/>
            </w:tcBorders>
            <w:shd w:fill="D9E6F2" w:val="clear"/>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양방향 극단 변동성 (기본 $80 vs 극단 $167). 간접 접근(조선·방산)으로 대체</w:t>
            </w:r>
          </w:p>
        </w:tc>
      </w:tr>
      <w:tr>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미국 하이일드</w:t>
            </w:r>
          </w:p>
        </w:tc>
        <w:tc>
          <w:tcPr>
            <w:tcW w:type="dxa" w:w="702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AI 빅테크 차입 확대, Oracle CDS 상승 등 사모신용 연계 리스크. IG로만 접근</w:t>
            </w:r>
          </w:p>
        </w:tc>
      </w:tr>
      <w:tr>
        <w:tc>
          <w:tcPr>
            <w:tcW w:type="dxa" w:w="2340"/>
            <w:tcBorders>
              <w:top w:val="single" w:color="BBBBBB" w:sz="1"/>
              <w:left w:val="single" w:color="BBBBBB" w:sz="1"/>
              <w:bottom w:val="single" w:color="BBBBBB" w:sz="1"/>
              <w:right w:val="single" w:color="BBBBBB" w:sz="1"/>
            </w:tcBorders>
            <w:shd w:fill="D9E6F2" w:val="clear"/>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크립토</w:t>
            </w:r>
          </w:p>
        </w:tc>
        <w:tc>
          <w:tcPr>
            <w:tcW w:type="dxa" w:w="7020"/>
            <w:tcBorders>
              <w:top w:val="single" w:color="BBBBBB" w:sz="1"/>
              <w:left w:val="single" w:color="BBBBBB" w:sz="1"/>
              <w:bottom w:val="single" w:color="BBBBBB" w:sz="1"/>
              <w:right w:val="single" w:color="BBBBBB" w:sz="1"/>
            </w:tcBorders>
            <w:shd w:fill="D9E6F2" w:val="clear"/>
            <w:tcMar>
              <w:top w:type="dxa" w:w="80"/>
              <w:left w:type="dxa" w:w="120"/>
              <w:bottom w:type="dxa" w:w="80"/>
              <w:right w:type="dxa" w:w="120"/>
            </w:tcMar>
            <w:vAlign w:val="center"/>
          </w:tcPr>
          <w:p>
            <w:pPr>
              <w:spacing w:after="0" w:before="0"/>
              <w:jc w:val="left"/>
            </w:pPr>
            <w:r>
              <w:rPr>
                <w:rFonts w:ascii="Malgun Gothic" w:cs="Malgun Gothic" w:eastAsia="Malgun Gothic" w:hAnsi="Malgun Gothic"/>
                <w:b w:val="false"/>
                <w:bCs w:val="false"/>
                <w:color w:val="000000"/>
                <w:sz w:val="19"/>
                <w:szCs w:val="19"/>
              </w:rPr>
              <w:t xml:space="preserve">케빈 워시 체제 규제 리스크 확대 + 운용 기간 짧음</w:t>
            </w:r>
          </w:p>
        </w:tc>
      </w:tr>
    </w:tbl>
    <w:p>
      <w:pPr>
        <w:spacing w:after="120" w:before="30"/>
        <w:jc w:val="center"/>
      </w:pPr>
      <w:r>
        <w:rPr>
          <w:rFonts w:ascii="Malgun Gothic" w:cs="Malgun Gothic" w:eastAsia="Malgun Gothic" w:hAnsi="Malgun Gothic"/>
          <w:i/>
          <w:iCs/>
          <w:color w:val="5E5E5E"/>
          <w:sz w:val="16"/>
          <w:szCs w:val="16"/>
        </w:rPr>
        <w:t xml:space="preserve">출처: RFS 분석</w:t>
      </w:r>
    </w:p>
    <w:p>
      <w:pPr>
        <w:spacing w:before="120"/>
      </w:pPr>
    </w:p>
    <w:p>
      <w:pPr>
        <w:pBdr>
          <w:top w:val="single" w:color="CCCCCC" w:sz="2" w:space="4"/>
        </w:pBdr>
        <w:spacing w:after="0" w:before="60"/>
        <w:jc w:val="center"/>
      </w:pPr>
      <w:r>
        <w:rPr>
          <w:rFonts w:ascii="Malgun Gothic" w:cs="Malgun Gothic" w:eastAsia="Malgun Gothic" w:hAnsi="Malgun Gothic"/>
          <w:i/>
          <w:iCs/>
          <w:color w:val="5E5E5E"/>
          <w:sz w:val="16"/>
          <w:szCs w:val="16"/>
        </w:rPr>
        <w:t xml:space="preserve">본 투자계획서는 DB GAPS 투자대회 제출용 자료로, 참고 자료인 하나증권 리서치(2026.05.08)의 전망치와 RFS 자체 분석을 결합하였습니다. 실제 투자 판단의 근거로 사용 시 해당 기관의 최신 자료를 반드시 확인하십시오.</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0"/>
      <w:jc w:val="right"/>
    </w:pPr>
    <w:r>
      <w:rPr>
        <w:rFonts w:ascii="Malgun Gothic" w:cs="Malgun Gothic" w:eastAsia="Malgun Gothic" w:hAnsi="Malgun Gothic"/>
        <w:color w:val="5E5E5E"/>
        <w:sz w:val="16"/>
        <w:szCs w:val="16"/>
      </w:rPr>
      <w:t xml:space="preserve">중앙대학교 RFS | 운용기간: 2026.06.01 ~ 2026.08.31   </w:t>
    </w:r>
    <w:r>
      <w:rPr>
        <w:rFonts w:ascii="Malgun Gothic" w:cs="Malgun Gothic" w:eastAsia="Malgun Gothic" w:hAnsi="Malgun Gothic"/>
        <w:color w:val="5E5E5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0"/>
    </w:pPr>
    <w:r>
      <w:rPr>
        <w:rFonts w:ascii="Malgun Gothic" w:cs="Malgun Gothic" w:eastAsia="Malgun Gothic" w:hAnsi="Malgun Gothic"/>
        <w:color w:val="5E5E5E"/>
        <w:sz w:val="16"/>
        <w:szCs w:val="16"/>
      </w:rPr>
      <w:t xml:space="preserve">제12회 DB GAPS 투자대회  |  RFS팀 투자계획서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Malgun Gothic" w:cs="Malgun Gothic" w:eastAsia="Malgun Gothic" w:hAnsi="Malgun Gothic"/>
      <w:b/>
      <w:bCs/>
      <w:color w:val="1B3A6B"/>
      <w:sz w:val="32"/>
      <w:szCs w:val="32"/>
    </w:rPr>
  </w:style>
  <w:style w:type="paragraph" w:styleId="Heading2">
    <w:name w:val="Heading 2"/>
    <w:basedOn w:val="Normal"/>
    <w:next w:val="Normal"/>
    <w:qFormat/>
    <w:pPr>
      <w:spacing w:after="80" w:before="240"/>
      <w:outlineLvl w:val="1"/>
    </w:pPr>
    <w:rPr>
      <w:rFonts w:ascii="Malgun Gothic" w:cs="Malgun Gothic" w:eastAsia="Malgun Gothic" w:hAnsi="Malgun Gothic"/>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2026-05-11T11:31:33.167Z</dcterms:created>
  <dcterms:modified xsi:type="dcterms:W3CDTF">2026-05-11T11:31:33.184Z</dcterms:modified>
</cp:coreProperties>
</file>

<file path=docProps/custom.xml><?xml version="1.0" encoding="utf-8"?>
<Properties xmlns="http://schemas.openxmlformats.org/officeDocument/2006/custom-properties" xmlns:vt="http://schemas.openxmlformats.org/officeDocument/2006/docPropsVTypes"/>
</file>