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Pr>
          <w:b/>
          <w:spacing w:val="3"/>
          <w:sz w:val="26"/>
        </w:rPr>
        <w:t xml:space="preserve"> </w:t>
      </w:r>
      <w:r>
        <w:rPr>
          <w:b/>
          <w:sz w:val="26"/>
        </w:rPr>
        <w:t>(R016</w:t>
      </w:r>
      <w:r>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73745F" id="Graphic 4" o:spid="_x0000_s1026" style="position:absolute;margin-left:105.7pt;margin-top:17pt;width:5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31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" path="m,l731115,e" filled="f" strokeweight=".20694mm">
                <v:path arrowok="t"/>
                <w10:wrap type="topAndBottom" anchorx="page"/>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52B86" id="Graphic 5" o:spid="_x0000_s1026" style="position:absolute;margin-left:376.1pt;margin-top:17pt;width:53.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" path="m,l679732,e" filled="f" strokeweight=".20694mm">
                <v:path arrowok="t"/>
                <w10:wrap type="topAndBottom" anchorx="page"/>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g">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67D9B" id="Group 6" o:spid="_x0000_s1026" style="width:77.5pt;height:.7pt;mso-position-horizontal-relative:char;mso-position-vertical-relative:line" coordsize="9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">
                <v:shape id="Graphic 7" o:spid="_x0000_s1027" style="position:absolute;top:41;width:9842;height:13;visibility:visible;mso-wrap-style:square;v-text-anchor:top" coordsize="98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" path="m,l983963,e" filled="f" strokeweight=".23019mm">
                  <v:path arrowok="t"/>
                </v:shape>
                <w10:anchorlock/>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0C2DEF08" w:rsidR="00A86978" w:rsidRDefault="00000000">
      <w:pPr>
        <w:spacing w:line="494" w:lineRule="auto"/>
        <w:ind w:left="1420" w:right="6268" w:hanging="1229"/>
        <w:rPr>
          <w:b/>
        </w:rPr>
      </w:pPr>
      <w:r>
        <w:rPr>
          <w:b/>
        </w:rPr>
        <w:t xml:space="preserve">Chapter 2 Literature survey </w:t>
      </w:r>
      <w:r>
        <w:rPr>
          <w:b/>
          <w:spacing w:val="-4"/>
        </w:rPr>
        <w:t>2.1</w:t>
      </w:r>
      <w:r w:rsidR="00392C4F">
        <w:rPr>
          <w:b/>
          <w:spacing w:val="-4"/>
        </w:rPr>
        <w:t xml:space="preserve"> Introduction</w:t>
      </w:r>
    </w:p>
    <w:p w14:paraId="7AEBF54F" w14:textId="557161CB" w:rsidR="00A86978" w:rsidRDefault="00000000" w:rsidP="009C51EF">
      <w:pPr>
        <w:spacing w:before="2"/>
        <w:ind w:left="1420"/>
        <w:rPr>
          <w:b/>
        </w:rPr>
      </w:pPr>
      <w:r>
        <w:rPr>
          <w:b/>
          <w:spacing w:val="-5"/>
        </w:rPr>
        <w:t>2.2</w:t>
      </w:r>
      <w:r w:rsidR="00392C4F">
        <w:rPr>
          <w:b/>
          <w:spacing w:val="-5"/>
        </w:rPr>
        <w:t xml:space="preserve"> Exhaustive Literature survey</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4C6FFEB4" w:rsidR="00A86978" w:rsidRDefault="00000000">
      <w:pPr>
        <w:ind w:left="1420"/>
        <w:rPr>
          <w:b/>
        </w:rPr>
      </w:pPr>
      <w:r>
        <w:rPr>
          <w:b/>
          <w:spacing w:val="-5"/>
        </w:rPr>
        <w:t>3.1</w:t>
      </w:r>
      <w:r w:rsidR="00EF33B1">
        <w:rPr>
          <w:b/>
          <w:spacing w:val="-5"/>
        </w:rPr>
        <w:tab/>
      </w:r>
    </w:p>
    <w:p w14:paraId="47BCBB8E" w14:textId="77777777" w:rsidR="00A86978" w:rsidRDefault="00A86978">
      <w:pPr>
        <w:pStyle w:val="BodyText"/>
        <w:spacing w:before="17"/>
        <w:rPr>
          <w:b/>
        </w:rPr>
      </w:pPr>
    </w:p>
    <w:p w14:paraId="2E741C91" w14:textId="77777777" w:rsidR="00A86978" w:rsidRDefault="00000000">
      <w:pPr>
        <w:ind w:left="1420"/>
        <w:rPr>
          <w:b/>
        </w:rPr>
      </w:pPr>
      <w:r>
        <w:rPr>
          <w:b/>
          <w:spacing w:val="-5"/>
        </w:rPr>
        <w:t>3.2</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rsidP="00E1339E">
      <w:pPr>
        <w:pStyle w:val="ListParagraph"/>
        <w:numPr>
          <w:ilvl w:val="1"/>
          <w:numId w:val="6"/>
        </w:numPr>
        <w:tabs>
          <w:tab w:val="left" w:pos="1153"/>
        </w:tabs>
        <w:spacing w:before="1"/>
        <w:ind w:left="2061" w:hanging="621"/>
        <w:rPr>
          <w:b/>
        </w:rPr>
      </w:pPr>
      <w:r>
        <w:rPr>
          <w:b/>
          <w:spacing w:val="-2"/>
        </w:rPr>
        <w:t>Advantages</w:t>
      </w:r>
    </w:p>
    <w:p w14:paraId="30726F81" w14:textId="77777777" w:rsidR="00A86978" w:rsidRDefault="00A86978" w:rsidP="00E1339E">
      <w:pPr>
        <w:pStyle w:val="BodyText"/>
        <w:spacing w:before="17"/>
        <w:ind w:left="908"/>
        <w:rPr>
          <w:b/>
        </w:rPr>
      </w:pPr>
    </w:p>
    <w:p w14:paraId="312C6F92" w14:textId="77777777" w:rsidR="00A86978" w:rsidRDefault="00000000" w:rsidP="00E1339E">
      <w:pPr>
        <w:pStyle w:val="ListParagraph"/>
        <w:numPr>
          <w:ilvl w:val="1"/>
          <w:numId w:val="6"/>
        </w:numPr>
        <w:tabs>
          <w:tab w:val="left" w:pos="1153"/>
        </w:tabs>
        <w:ind w:left="2061" w:hanging="621"/>
        <w:rPr>
          <w:b/>
        </w:rPr>
      </w:pPr>
      <w:r>
        <w:rPr>
          <w:b/>
          <w:spacing w:val="-2"/>
        </w:rPr>
        <w:t>Limitations</w:t>
      </w:r>
    </w:p>
    <w:p w14:paraId="10C1075D" w14:textId="77777777" w:rsidR="00A86978" w:rsidRDefault="00A86978" w:rsidP="00E1339E">
      <w:pPr>
        <w:pStyle w:val="BodyText"/>
        <w:spacing w:before="17"/>
        <w:ind w:left="908"/>
        <w:rPr>
          <w:b/>
        </w:rPr>
      </w:pPr>
    </w:p>
    <w:p w14:paraId="58442DA9" w14:textId="77777777" w:rsidR="00A86978" w:rsidRDefault="00000000" w:rsidP="00E1339E">
      <w:pPr>
        <w:pStyle w:val="ListParagraph"/>
        <w:numPr>
          <w:ilvl w:val="1"/>
          <w:numId w:val="6"/>
        </w:numPr>
        <w:tabs>
          <w:tab w:val="left" w:pos="1153"/>
        </w:tabs>
        <w:ind w:left="2061"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77777777" w:rsidR="00A86978" w:rsidRDefault="00A86978">
            <w:pPr>
              <w:pStyle w:val="TableParagraph"/>
            </w:pPr>
          </w:p>
        </w:tc>
        <w:tc>
          <w:tcPr>
            <w:tcW w:w="5857" w:type="dxa"/>
          </w:tcPr>
          <w:p w14:paraId="5B2BFD97" w14:textId="77777777" w:rsidR="00A86978" w:rsidRDefault="00A86978">
            <w:pPr>
              <w:pStyle w:val="TableParagraph"/>
            </w:pP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7777777" w:rsidR="00A86978" w:rsidRDefault="00A86978">
            <w:pPr>
              <w:pStyle w:val="TableParagraph"/>
            </w:pPr>
          </w:p>
        </w:tc>
        <w:tc>
          <w:tcPr>
            <w:tcW w:w="5857" w:type="dxa"/>
          </w:tcPr>
          <w:p w14:paraId="00A647E3" w14:textId="77777777" w:rsidR="00A86978" w:rsidRDefault="00A86978">
            <w:pPr>
              <w:pStyle w:val="TableParagraph"/>
            </w:pP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4F577233" w14:textId="4F54D45B" w:rsidR="00A86978" w:rsidRPr="00BF4CED" w:rsidRDefault="00000000" w:rsidP="00BF4CED">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75B8E0B6" w14:textId="0A629E0A" w:rsidR="00D32B42" w:rsidRPr="004D7A07" w:rsidRDefault="00D32B42" w:rsidP="00D32B42">
      <w:pPr>
        <w:pStyle w:val="ListParagraph"/>
        <w:tabs>
          <w:tab w:val="left" w:pos="427"/>
          <w:tab w:val="left" w:pos="429"/>
        </w:tabs>
        <w:spacing w:line="364" w:lineRule="auto"/>
        <w:ind w:left="429" w:right="299"/>
        <w:rPr>
          <w:bCs/>
          <w:sz w:val="26"/>
        </w:rPr>
      </w:pPr>
      <w:r>
        <w:rPr>
          <w:bCs/>
          <w:sz w:val="26"/>
        </w:rPr>
        <w:tab/>
      </w:r>
      <w:r w:rsidRPr="00D32B42">
        <w:rPr>
          <w:bCs/>
          <w:sz w:val="26"/>
        </w:rPr>
        <w:t>Exploratory Data Analysis (EDA) stands as a cornerstone of contemporary data science, acting as the critical bridge between raw datasets and actionable intelligence. Historically rooted in the work of John Tukey, EDA emphasizes understanding data distributions, patterns, relationships, and anomalies through both statistical summaries and visualizations, paving the way for appropriate modeling and robust, data-driven reasoning. As modern datasets have grown in complexity, size, and heterogeneity—spanning structured and unstructured sources across industries—the need for scalable, reproducible, and adaptable EDA methodologies has become acute. Manual, traditional approaches, though effective for preliminary investigation, often falter in the face of high-dimensional data, latent dependencies, and domain-specific nuances. This situation is further complicated by the pressure for rapid business intelligence, stringent regulatory requirements, and the need for transparent communication of findings to both technical and non-technical stakeholders. These factors have collectively inspired a wave of research into automating EDA, transforming it from reactive, manual examination to proactive, AI-driven pipelines that blend the best of human intuition and machine efficiency. The integration of AI, machine learning (ML), and large language models (LLMs) is revolutionizing how data is explored, interpreted, and acted upon—enabling deeper insights, greater accessibility, and robust handling of real-world data challenges [2][1][4].</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lastRenderedPageBreak/>
        <w:t>Exhaustive literature survey</w:t>
      </w:r>
      <w:r>
        <w:rPr>
          <w:b/>
          <w:color w:val="000000"/>
          <w:sz w:val="26"/>
        </w:rPr>
        <w:t xml:space="preserve"> </w:t>
      </w:r>
    </w:p>
    <w:p w14:paraId="20064357" w14:textId="77777777" w:rsidR="00D32B42" w:rsidRDefault="00D32B42" w:rsidP="00D32B42">
      <w:pPr>
        <w:tabs>
          <w:tab w:val="left" w:pos="427"/>
          <w:tab w:val="left" w:pos="429"/>
        </w:tabs>
        <w:spacing w:line="364" w:lineRule="auto"/>
        <w:ind w:right="356"/>
        <w:rPr>
          <w:sz w:val="26"/>
          <w:szCs w:val="26"/>
        </w:rPr>
      </w:pPr>
    </w:p>
    <w:p w14:paraId="049E478A" w14:textId="4E6183C6"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The literature exhibits rapid progress and diverse approaches </w:t>
      </w:r>
      <w:proofErr w:type="gramStart"/>
      <w:r w:rsidRPr="00D32B42">
        <w:rPr>
          <w:sz w:val="26"/>
          <w:szCs w:val="26"/>
        </w:rPr>
        <w:t>in the area of</w:t>
      </w:r>
      <w:proofErr w:type="gramEnd"/>
      <w:r w:rsidRPr="00D32B42">
        <w:rPr>
          <w:sz w:val="26"/>
          <w:szCs w:val="26"/>
        </w:rPr>
        <w:t xml:space="preserve"> automated EDA. Gaikwad et al. [2] provide a comprehensive overview of the evolution from traditional EDA to intelligent, automated frameworks. Their review underscores that while statistical analysis and human-driven visual exploration remain valuable, AI-based EDA delivers notable advantages: from automating tedious preprocessing, feature extraction, and pattern detection to supporting intuitive natural language interfaces. Their work highlights how AI-driven automation ensures scalability for large datasets, improves accessibility for users without deep technical expertise, and allows for more interactive, real-time discovery. Importantly, they also delineate the persistent challenges, such as managing data privacy, reducing algorithmic bias, and explaining complex model decisions to foster trust in the insights uncovered by AI agents.</w:t>
      </w:r>
    </w:p>
    <w:p w14:paraId="472B3633" w14:textId="77777777" w:rsidR="00D32B42" w:rsidRPr="00D32B42" w:rsidRDefault="00D32B42" w:rsidP="00D32B42">
      <w:pPr>
        <w:tabs>
          <w:tab w:val="left" w:pos="427"/>
          <w:tab w:val="left" w:pos="429"/>
        </w:tabs>
        <w:spacing w:line="364" w:lineRule="auto"/>
        <w:ind w:left="427" w:right="356"/>
        <w:rPr>
          <w:sz w:val="26"/>
          <w:szCs w:val="26"/>
        </w:rPr>
      </w:pPr>
    </w:p>
    <w:p w14:paraId="5FCB1DCA" w14:textId="3915E8B8"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Addressing the growing need for cross-domain adaptability and natural language understanding, Zhu et al. </w:t>
      </w:r>
      <w:r>
        <w:rPr>
          <w:sz w:val="26"/>
          <w:szCs w:val="26"/>
        </w:rPr>
        <w:t>[</w:t>
      </w:r>
      <w:r w:rsidRPr="00D32B42">
        <w:rPr>
          <w:sz w:val="26"/>
          <w:szCs w:val="26"/>
        </w:rPr>
        <w:t xml:space="preserve">1] introduce </w:t>
      </w:r>
      <w:proofErr w:type="spellStart"/>
      <w:r w:rsidRPr="00D32B42">
        <w:rPr>
          <w:sz w:val="26"/>
          <w:szCs w:val="26"/>
        </w:rPr>
        <w:t>TiInsight</w:t>
      </w:r>
      <w:proofErr w:type="spellEnd"/>
      <w:r w:rsidRPr="00D32B42">
        <w:rPr>
          <w:sz w:val="26"/>
          <w:szCs w:val="26"/>
        </w:rPr>
        <w:t xml:space="preserve">, an advanced EDA system harnessing the power of LLMs. </w:t>
      </w:r>
      <w:proofErr w:type="spellStart"/>
      <w:r w:rsidRPr="00D32B42">
        <w:rPr>
          <w:sz w:val="26"/>
          <w:szCs w:val="26"/>
        </w:rPr>
        <w:t>TiInsight’s</w:t>
      </w:r>
      <w:proofErr w:type="spellEnd"/>
      <w:r w:rsidRPr="00D32B42">
        <w:rPr>
          <w:sz w:val="26"/>
          <w:szCs w:val="26"/>
        </w:rPr>
        <w:t xml:space="preserve"> architecture fuses hierarchical data context summarization, intent clarification, and dynamic visualization recommendation within a unified platform. Their system is distinguished by its ability to process complex, multi-table enterprise databases using text-to-SQL translation guided by user queries in everyday language. The authors' evaluations show that </w:t>
      </w:r>
      <w:proofErr w:type="spellStart"/>
      <w:r w:rsidRPr="00D32B42">
        <w:rPr>
          <w:sz w:val="26"/>
          <w:szCs w:val="26"/>
        </w:rPr>
        <w:t>TiInsight</w:t>
      </w:r>
      <w:proofErr w:type="spellEnd"/>
      <w:r w:rsidRPr="00D32B42">
        <w:rPr>
          <w:sz w:val="26"/>
          <w:szCs w:val="26"/>
        </w:rPr>
        <w:t xml:space="preserve"> outperforms existing tools by automatically clarifying vague or ambiguous user intent, generalizing analysis steps across domains without domain-specific fine-tuning, and effectively automating the creation of informative visualizations. Despite these strengths, Zhu et al. identify unresolved technical hurdles. These include handling especially ambiguous queries, dealing with the complexity of database schemas in real-world scenarios, and providing </w:t>
      </w:r>
      <w:r w:rsidRPr="00D32B42">
        <w:rPr>
          <w:sz w:val="26"/>
          <w:szCs w:val="26"/>
        </w:rPr>
        <w:lastRenderedPageBreak/>
        <w:t>transparent model reasoning throughout the analytical pipeline, particularly in regulated or high-risk domains.</w:t>
      </w:r>
    </w:p>
    <w:p w14:paraId="0E42B15E" w14:textId="77777777" w:rsidR="00D32B42" w:rsidRPr="00D32B42" w:rsidRDefault="00D32B42" w:rsidP="00D32B42">
      <w:pPr>
        <w:tabs>
          <w:tab w:val="left" w:pos="427"/>
          <w:tab w:val="left" w:pos="429"/>
        </w:tabs>
        <w:spacing w:line="364" w:lineRule="auto"/>
        <w:ind w:left="427" w:right="356"/>
        <w:rPr>
          <w:sz w:val="26"/>
          <w:szCs w:val="26"/>
        </w:rPr>
      </w:pPr>
    </w:p>
    <w:p w14:paraId="2F9B149A" w14:textId="0808D55D"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In pursuit of higher personalization and iterative insight discovery, Wu et al. [3] introduce </w:t>
      </w:r>
      <w:proofErr w:type="spellStart"/>
      <w:r w:rsidRPr="00D32B42">
        <w:rPr>
          <w:sz w:val="26"/>
          <w:szCs w:val="26"/>
        </w:rPr>
        <w:t>AutoEDA</w:t>
      </w:r>
      <w:proofErr w:type="spellEnd"/>
      <w:r w:rsidRPr="00D32B42">
        <w:rPr>
          <w:sz w:val="26"/>
          <w:szCs w:val="26"/>
        </w:rPr>
        <w:t xml:space="preserve">-Segment, which applies Attribute Frequency Statistical Feature Ratio (AFSFR) for enhanced feature categorization and value assessment, supported by interactive clustering and visualization. Their iterative feedback approach allows analysts to refine focus areas, incorporate domain expertise, and iteratively improve the quality of features and clusters explored—demonstrating improved efficiency and user satisfaction in real-world case studies from meteorology and healthcare. Critically, their work elucidates the opportunities and practical challenges of bridging automated and user-guided workflows so that domain experts </w:t>
      </w:r>
      <w:proofErr w:type="gramStart"/>
      <w:r w:rsidRPr="00D32B42">
        <w:rPr>
          <w:sz w:val="26"/>
          <w:szCs w:val="26"/>
        </w:rPr>
        <w:t>are able to</w:t>
      </w:r>
      <w:proofErr w:type="gramEnd"/>
      <w:r w:rsidRPr="00D32B42">
        <w:rPr>
          <w:sz w:val="26"/>
          <w:szCs w:val="26"/>
        </w:rPr>
        <w:t xml:space="preserve"> inject contextual insights into the automated EDA process. Wu et al. also note limitations regarding the breadth of visualization options and the need for smarter, context-aware clustering—requirements that grow in importance as datasets scale and diversify.</w:t>
      </w:r>
    </w:p>
    <w:p w14:paraId="6B722D49" w14:textId="77777777" w:rsidR="00D32B42" w:rsidRPr="00D32B42" w:rsidRDefault="00D32B42" w:rsidP="00D32B42">
      <w:pPr>
        <w:tabs>
          <w:tab w:val="left" w:pos="427"/>
          <w:tab w:val="left" w:pos="429"/>
        </w:tabs>
        <w:spacing w:line="364" w:lineRule="auto"/>
        <w:ind w:left="427" w:right="356"/>
        <w:rPr>
          <w:sz w:val="26"/>
          <w:szCs w:val="26"/>
        </w:rPr>
      </w:pPr>
    </w:p>
    <w:p w14:paraId="16404574" w14:textId="22A4F03E"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Complementing these software-oriented advancements, Shi et al. [4] highlight the foundational importance of comprehensive benchmarking datasets by introducing </w:t>
      </w:r>
      <w:proofErr w:type="spellStart"/>
      <w:r w:rsidRPr="00D32B42">
        <w:rPr>
          <w:sz w:val="26"/>
          <w:szCs w:val="26"/>
        </w:rPr>
        <w:t>ForgeEDA</w:t>
      </w:r>
      <w:proofErr w:type="spellEnd"/>
      <w:r w:rsidRPr="00D32B42">
        <w:rPr>
          <w:sz w:val="26"/>
          <w:szCs w:val="26"/>
        </w:rPr>
        <w:t xml:space="preserve">. This multimodal, open-source resource contains a diverse set of integrated circuit (IC) designs—including code, netlists, graph representations, and layouts—serving as a testbed for AI4EDA solutions in logic synthesis, placement, performance estimation, and more. Their experimental results unveil the performance disparities between open-source and commercial tools, advocating for open, large-scale datasets as necessary infrastructure for accelerating AI-driven EDA innovation. Beyond hardware, the philosophy of </w:t>
      </w:r>
      <w:proofErr w:type="spellStart"/>
      <w:r w:rsidRPr="00D32B42">
        <w:rPr>
          <w:sz w:val="26"/>
          <w:szCs w:val="26"/>
        </w:rPr>
        <w:t>ForgeEDA</w:t>
      </w:r>
      <w:proofErr w:type="spellEnd"/>
      <w:r w:rsidRPr="00D32B42">
        <w:rPr>
          <w:sz w:val="26"/>
          <w:szCs w:val="26"/>
        </w:rPr>
        <w:t xml:space="preserve"> points toward a broader gap: the need for domain-specific, yet flexible benchmarking datasets in business analytics, healthcare, and other data-rich </w:t>
      </w:r>
      <w:r w:rsidRPr="00D32B42">
        <w:rPr>
          <w:sz w:val="26"/>
          <w:szCs w:val="26"/>
        </w:rPr>
        <w:lastRenderedPageBreak/>
        <w:t>fields; this would trustworthily evaluate both the generalizability and practical intelligence of automated EDA systems.</w:t>
      </w:r>
    </w:p>
    <w:p w14:paraId="3AB53740" w14:textId="77777777" w:rsidR="00D32B42" w:rsidRPr="00D32B42" w:rsidRDefault="00D32B42" w:rsidP="00D32B42">
      <w:pPr>
        <w:tabs>
          <w:tab w:val="left" w:pos="427"/>
          <w:tab w:val="left" w:pos="429"/>
        </w:tabs>
        <w:spacing w:line="364" w:lineRule="auto"/>
        <w:ind w:left="427" w:right="356"/>
        <w:rPr>
          <w:sz w:val="26"/>
          <w:szCs w:val="26"/>
        </w:rPr>
      </w:pPr>
    </w:p>
    <w:p w14:paraId="5515705C" w14:textId="1148BA86"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Pulling together the evidence from these works, clear patterns emerge about the current state and gaps in the field. Existing solutions either prioritize autonomous, fully automated analytics or user-driven customization, but rarely offer a cohesive, dual-mode experience that fluidly blends both to suit changing user needs or organization maturity [1][3]. Most frameworks are still limited by the format and source of the input data they can handle, often requiring manual adaptation or extensive retraining to generalize across domains—be it classic tabular business intelligence, unstructured text, or specialized formats like IC design layouts [4][2]. In practice, stakeholders demand not just fast and accurate results, but robust explanation, transparency, and adaptability in the face of ambiguous queries, changing objectives, or regulatory constraints [1][2]. Last, and importantly, the lack of comprehensive, cross-domain benchmarks curtails rigorous comparison, systematic improvement, and, ultimately, the real-world deployment of scalable, trustworthy automated EDA platforms [4].</w:t>
      </w:r>
    </w:p>
    <w:p w14:paraId="328458A8" w14:textId="77777777" w:rsidR="00D32B42" w:rsidRPr="00D32B42" w:rsidRDefault="00D32B42" w:rsidP="00D32B42">
      <w:pPr>
        <w:tabs>
          <w:tab w:val="left" w:pos="427"/>
          <w:tab w:val="left" w:pos="429"/>
        </w:tabs>
        <w:spacing w:line="364" w:lineRule="auto"/>
        <w:ind w:left="427" w:right="356"/>
        <w:rPr>
          <w:sz w:val="26"/>
          <w:szCs w:val="26"/>
        </w:rPr>
      </w:pPr>
    </w:p>
    <w:p w14:paraId="1A49F9B4" w14:textId="77777777" w:rsidR="00D32B42" w:rsidRDefault="00D32B42" w:rsidP="00D32B42">
      <w:pPr>
        <w:tabs>
          <w:tab w:val="left" w:pos="427"/>
          <w:tab w:val="left" w:pos="429"/>
        </w:tabs>
        <w:spacing w:line="364" w:lineRule="auto"/>
        <w:ind w:left="427" w:right="356"/>
        <w:rPr>
          <w:sz w:val="26"/>
          <w:szCs w:val="26"/>
        </w:rPr>
      </w:pPr>
      <w:r w:rsidRPr="00D32B42">
        <w:rPr>
          <w:sz w:val="26"/>
          <w:szCs w:val="26"/>
        </w:rPr>
        <w:t xml:space="preserve">Addressing these acute gaps, this project proposes to develop </w:t>
      </w:r>
      <w:proofErr w:type="spellStart"/>
      <w:r w:rsidRPr="00D32B42">
        <w:rPr>
          <w:sz w:val="26"/>
          <w:szCs w:val="26"/>
        </w:rPr>
        <w:t>DataCronyx</w:t>
      </w:r>
      <w:proofErr w:type="spellEnd"/>
      <w:r w:rsidRPr="00D32B42">
        <w:rPr>
          <w:sz w:val="26"/>
          <w:szCs w:val="26"/>
        </w:rPr>
        <w:t>: a unified, extensible EDA platform for the modern era. It aims to combine interactive user-guided exploration with rich, AI-driven automation and advanced visualization, covering a spectrum of business and specialized (e.g., hardware) data. The ambition is to bridge technical and domain barriers, democratize data exploration with context-aware explainable analytics, and provide robust, scalable benchmarking to drive continuous improvement and innovation in EDA for all users.</w:t>
      </w:r>
    </w:p>
    <w:p w14:paraId="6033BE61" w14:textId="77777777" w:rsidR="00D32B42" w:rsidRPr="00D32B42" w:rsidRDefault="00D32B42" w:rsidP="00D32B42">
      <w:pPr>
        <w:tabs>
          <w:tab w:val="left" w:pos="427"/>
          <w:tab w:val="left" w:pos="429"/>
        </w:tabs>
        <w:spacing w:line="364" w:lineRule="auto"/>
        <w:ind w:left="427" w:right="356"/>
        <w:rPr>
          <w:sz w:val="26"/>
          <w:szCs w:val="26"/>
        </w:rPr>
      </w:pPr>
    </w:p>
    <w:p w14:paraId="09689DD1" w14:textId="77777777" w:rsidR="00D32B42" w:rsidRPr="00B179C0" w:rsidRDefault="00D32B42" w:rsidP="00D32B42">
      <w:pPr>
        <w:tabs>
          <w:tab w:val="left" w:pos="427"/>
          <w:tab w:val="left" w:pos="429"/>
        </w:tabs>
        <w:spacing w:line="364" w:lineRule="auto"/>
        <w:ind w:left="427" w:right="356"/>
        <w:rPr>
          <w:sz w:val="26"/>
          <w:szCs w:val="26"/>
        </w:rPr>
      </w:pP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5B175521" w14:textId="77777777" w:rsidR="00A86978" w:rsidRDefault="00A86978">
      <w:pPr>
        <w:pStyle w:val="BodyText"/>
        <w:rPr>
          <w:b/>
          <w:sz w:val="30"/>
        </w:rPr>
      </w:pPr>
    </w:p>
    <w:p w14:paraId="22141E2A" w14:textId="77777777" w:rsidR="00446105" w:rsidRDefault="00446105">
      <w:pPr>
        <w:pStyle w:val="BodyText"/>
        <w:rPr>
          <w:b/>
          <w:sz w:val="30"/>
        </w:rPr>
      </w:pPr>
    </w:p>
    <w:p w14:paraId="43E52D3E" w14:textId="77777777" w:rsidR="00446105" w:rsidRDefault="00446105">
      <w:pPr>
        <w:pStyle w:val="BodyText"/>
        <w:rPr>
          <w:b/>
          <w:sz w:val="30"/>
        </w:rPr>
      </w:pPr>
    </w:p>
    <w:p w14:paraId="4CAA8CDB" w14:textId="77777777" w:rsidR="00446105" w:rsidRDefault="00446105">
      <w:pPr>
        <w:pStyle w:val="BodyText"/>
        <w:rPr>
          <w:b/>
          <w:sz w:val="30"/>
        </w:rPr>
      </w:pPr>
    </w:p>
    <w:p w14:paraId="5495007B" w14:textId="77777777" w:rsidR="00446105" w:rsidRDefault="00446105">
      <w:pPr>
        <w:pStyle w:val="BodyText"/>
        <w:rPr>
          <w:b/>
          <w:sz w:val="30"/>
        </w:rPr>
      </w:pPr>
    </w:p>
    <w:p w14:paraId="0475CAFE" w14:textId="77777777" w:rsidR="00446105" w:rsidRDefault="00446105">
      <w:pPr>
        <w:pStyle w:val="BodyText"/>
        <w:rPr>
          <w:b/>
          <w:sz w:val="30"/>
        </w:rPr>
      </w:pPr>
    </w:p>
    <w:p w14:paraId="33497B7E" w14:textId="77777777" w:rsidR="00446105" w:rsidRDefault="00446105">
      <w:pPr>
        <w:pStyle w:val="BodyText"/>
        <w:rPr>
          <w:b/>
          <w:sz w:val="30"/>
        </w:rPr>
      </w:pPr>
    </w:p>
    <w:p w14:paraId="70984CA0" w14:textId="77777777" w:rsidR="00446105" w:rsidRDefault="00446105">
      <w:pPr>
        <w:pStyle w:val="BodyText"/>
        <w:rPr>
          <w:b/>
          <w:sz w:val="30"/>
        </w:rPr>
      </w:pPr>
    </w:p>
    <w:p w14:paraId="7D2F0A78" w14:textId="77777777" w:rsidR="00446105" w:rsidRDefault="00446105">
      <w:pPr>
        <w:pStyle w:val="BodyText"/>
        <w:rPr>
          <w:b/>
          <w:sz w:val="30"/>
        </w:rPr>
      </w:pPr>
    </w:p>
    <w:p w14:paraId="0A6C7C5C" w14:textId="77777777" w:rsidR="00446105" w:rsidRDefault="00446105">
      <w:pPr>
        <w:pStyle w:val="BodyText"/>
        <w:rPr>
          <w:b/>
          <w:sz w:val="30"/>
        </w:rPr>
      </w:pPr>
    </w:p>
    <w:p w14:paraId="2EEC7A56" w14:textId="77777777" w:rsidR="00446105" w:rsidRDefault="00446105">
      <w:pPr>
        <w:pStyle w:val="BodyText"/>
        <w:rPr>
          <w:b/>
          <w:sz w:val="30"/>
        </w:rPr>
      </w:pPr>
    </w:p>
    <w:p w14:paraId="3912EBDA" w14:textId="77777777" w:rsidR="00446105" w:rsidRDefault="00446105">
      <w:pPr>
        <w:pStyle w:val="BodyText"/>
        <w:rPr>
          <w:b/>
          <w:sz w:val="30"/>
        </w:rPr>
      </w:pPr>
    </w:p>
    <w:p w14:paraId="5A472C93" w14:textId="77777777" w:rsidR="00446105" w:rsidRDefault="00446105">
      <w:pPr>
        <w:pStyle w:val="BodyText"/>
        <w:rPr>
          <w:b/>
          <w:sz w:val="30"/>
        </w:rPr>
      </w:pPr>
    </w:p>
    <w:p w14:paraId="69BE3491" w14:textId="77777777" w:rsidR="00446105" w:rsidRDefault="00446105">
      <w:pPr>
        <w:pStyle w:val="BodyText"/>
        <w:rPr>
          <w:b/>
          <w:sz w:val="30"/>
        </w:rPr>
      </w:pPr>
    </w:p>
    <w:p w14:paraId="5AD2CA0D" w14:textId="77777777" w:rsidR="00446105" w:rsidRDefault="00446105">
      <w:pPr>
        <w:pStyle w:val="BodyText"/>
        <w:rPr>
          <w:b/>
          <w:sz w:val="30"/>
        </w:rPr>
      </w:pPr>
    </w:p>
    <w:p w14:paraId="4719943A" w14:textId="77777777" w:rsidR="00446105" w:rsidRDefault="00446105">
      <w:pPr>
        <w:pStyle w:val="BodyText"/>
        <w:rPr>
          <w:b/>
          <w:sz w:val="30"/>
        </w:rPr>
      </w:pPr>
    </w:p>
    <w:p w14:paraId="43377094" w14:textId="77777777" w:rsidR="00446105" w:rsidRDefault="00446105">
      <w:pPr>
        <w:pStyle w:val="BodyText"/>
        <w:rPr>
          <w:b/>
          <w:sz w:val="30"/>
        </w:rPr>
      </w:pPr>
    </w:p>
    <w:p w14:paraId="6ED67EB3" w14:textId="77777777" w:rsidR="00446105" w:rsidRDefault="00446105">
      <w:pPr>
        <w:pStyle w:val="BodyText"/>
        <w:rPr>
          <w:b/>
          <w:sz w:val="30"/>
        </w:rPr>
      </w:pPr>
    </w:p>
    <w:p w14:paraId="45F4F6AE" w14:textId="77777777" w:rsidR="00446105" w:rsidRDefault="00446105">
      <w:pPr>
        <w:pStyle w:val="BodyText"/>
        <w:rPr>
          <w:b/>
          <w:sz w:val="30"/>
        </w:rPr>
      </w:pPr>
    </w:p>
    <w:p w14:paraId="0FFAE768" w14:textId="77777777" w:rsidR="00446105" w:rsidRDefault="00446105">
      <w:pPr>
        <w:pStyle w:val="BodyText"/>
        <w:rPr>
          <w:b/>
          <w:sz w:val="30"/>
        </w:rPr>
      </w:pPr>
    </w:p>
    <w:p w14:paraId="4A922491" w14:textId="77777777" w:rsidR="00446105" w:rsidRDefault="00446105">
      <w:pPr>
        <w:pStyle w:val="BodyText"/>
        <w:rPr>
          <w:b/>
          <w:sz w:val="30"/>
        </w:rPr>
      </w:pPr>
    </w:p>
    <w:p w14:paraId="68BAE1F0" w14:textId="77777777" w:rsidR="00446105" w:rsidRDefault="00446105">
      <w:pPr>
        <w:pStyle w:val="BodyText"/>
        <w:rPr>
          <w:b/>
          <w:sz w:val="30"/>
        </w:rPr>
      </w:pPr>
    </w:p>
    <w:p w14:paraId="508167DB" w14:textId="77777777" w:rsidR="00446105" w:rsidRDefault="00446105">
      <w:pPr>
        <w:pStyle w:val="BodyText"/>
        <w:rPr>
          <w:b/>
          <w:sz w:val="30"/>
        </w:rPr>
      </w:pPr>
    </w:p>
    <w:p w14:paraId="5A8BEF49" w14:textId="77777777" w:rsidR="00446105" w:rsidRDefault="00446105">
      <w:pPr>
        <w:pStyle w:val="BodyText"/>
        <w:rPr>
          <w:b/>
          <w:sz w:val="30"/>
        </w:rPr>
      </w:pPr>
    </w:p>
    <w:p w14:paraId="33E43A65" w14:textId="77777777" w:rsidR="00446105" w:rsidRDefault="00446105">
      <w:pPr>
        <w:pStyle w:val="BodyText"/>
        <w:rPr>
          <w:b/>
          <w:sz w:val="30"/>
        </w:rPr>
      </w:pPr>
    </w:p>
    <w:p w14:paraId="1E52AD9B" w14:textId="77777777" w:rsidR="00446105" w:rsidRDefault="00446105">
      <w:pPr>
        <w:pStyle w:val="BodyText"/>
        <w:rPr>
          <w:b/>
          <w:sz w:val="30"/>
        </w:rPr>
      </w:pPr>
    </w:p>
    <w:p w14:paraId="3C55CD29" w14:textId="77777777" w:rsidR="00446105" w:rsidRDefault="00446105">
      <w:pPr>
        <w:pStyle w:val="BodyText"/>
        <w:rPr>
          <w:b/>
          <w:sz w:val="30"/>
        </w:rPr>
      </w:pPr>
    </w:p>
    <w:p w14:paraId="6C97232F" w14:textId="77777777" w:rsidR="00446105" w:rsidRDefault="00446105">
      <w:pPr>
        <w:pStyle w:val="BodyText"/>
        <w:rPr>
          <w:b/>
          <w:sz w:val="30"/>
        </w:rPr>
      </w:pPr>
    </w:p>
    <w:p w14:paraId="5C7DB241" w14:textId="77777777" w:rsidR="00446105" w:rsidRDefault="00446105">
      <w:pPr>
        <w:pStyle w:val="BodyText"/>
        <w:rPr>
          <w:b/>
          <w:sz w:val="30"/>
        </w:rPr>
      </w:pPr>
    </w:p>
    <w:p w14:paraId="05311851" w14:textId="77777777" w:rsidR="00446105" w:rsidRDefault="00446105">
      <w:pPr>
        <w:pStyle w:val="BodyText"/>
        <w:rPr>
          <w:b/>
          <w:sz w:val="30"/>
        </w:rPr>
      </w:pPr>
    </w:p>
    <w:p w14:paraId="5E7EF71B" w14:textId="77777777" w:rsidR="00446105" w:rsidRDefault="00446105">
      <w:pPr>
        <w:pStyle w:val="BodyText"/>
        <w:rPr>
          <w:b/>
          <w:sz w:val="30"/>
        </w:rPr>
      </w:pPr>
    </w:p>
    <w:p w14:paraId="291294D3" w14:textId="77777777" w:rsidR="00446105" w:rsidRDefault="00446105">
      <w:pPr>
        <w:pStyle w:val="BodyText"/>
        <w:rPr>
          <w:b/>
          <w:sz w:val="30"/>
        </w:rPr>
      </w:pPr>
    </w:p>
    <w:p w14:paraId="73372A61" w14:textId="330C110E" w:rsidR="00446105" w:rsidRDefault="00446105" w:rsidP="00446105">
      <w:pPr>
        <w:pStyle w:val="BodyText"/>
        <w:jc w:val="center"/>
        <w:rPr>
          <w:b/>
          <w:sz w:val="30"/>
        </w:rPr>
      </w:pPr>
      <w:r>
        <w:rPr>
          <w:b/>
          <w:sz w:val="30"/>
        </w:rPr>
        <w:lastRenderedPageBreak/>
        <w:t xml:space="preserve">Chapter </w:t>
      </w:r>
      <w:r>
        <w:rPr>
          <w:b/>
          <w:sz w:val="30"/>
        </w:rPr>
        <w:t>4</w:t>
      </w:r>
    </w:p>
    <w:p w14:paraId="2929B8E4" w14:textId="77777777" w:rsidR="00A86978" w:rsidRDefault="00A86978">
      <w:pPr>
        <w:pStyle w:val="BodyText"/>
        <w:spacing w:before="87"/>
        <w:rPr>
          <w:b/>
          <w:sz w:val="30"/>
        </w:rPr>
      </w:pPr>
    </w:p>
    <w:p w14:paraId="28BDAC63" w14:textId="0DB8384D" w:rsidR="00A86978" w:rsidRPr="00223169" w:rsidRDefault="00000000" w:rsidP="00223169">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0">
        <w:r w:rsidR="00A86978">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3542B18F" w14:textId="77777777" w:rsidR="00BD67D6" w:rsidRDefault="00BD67D6" w:rsidP="00353666">
      <w:pPr>
        <w:pStyle w:val="BodyText"/>
        <w:ind w:left="720"/>
        <w:rPr>
          <w:b/>
          <w:sz w:val="26"/>
        </w:rPr>
      </w:pPr>
    </w:p>
    <w:p w14:paraId="2AB7151B" w14:textId="3A24B0F3" w:rsidR="00BD67D6" w:rsidRDefault="00BD67D6" w:rsidP="00353666">
      <w:pPr>
        <w:pStyle w:val="BodyText"/>
        <w:ind w:left="720"/>
        <w:rPr>
          <w:b/>
          <w:sz w:val="26"/>
        </w:rPr>
      </w:pPr>
      <w:r>
        <w:rPr>
          <w:b/>
          <w:sz w:val="26"/>
        </w:rPr>
        <w:t xml:space="preserve">[4] </w:t>
      </w:r>
      <w:r w:rsidRPr="00BD67D6">
        <w:rPr>
          <w:b/>
          <w:sz w:val="26"/>
        </w:rPr>
        <w:t>Z. Shi et al., "</w:t>
      </w:r>
      <w:proofErr w:type="spellStart"/>
      <w:r w:rsidRPr="00BD67D6">
        <w:rPr>
          <w:b/>
          <w:sz w:val="26"/>
        </w:rPr>
        <w:t>ForgeEDA</w:t>
      </w:r>
      <w:proofErr w:type="spellEnd"/>
      <w:r w:rsidRPr="00BD67D6">
        <w:rPr>
          <w:b/>
          <w:sz w:val="26"/>
        </w:rPr>
        <w:t xml:space="preserve">: A Comprehensive Multimodal Dataset for Advancing EDA," 2025 International Symposium of </w:t>
      </w:r>
      <w:proofErr w:type="spellStart"/>
      <w:r w:rsidRPr="00BD67D6">
        <w:rPr>
          <w:b/>
          <w:sz w:val="26"/>
        </w:rPr>
        <w:t>Electronics</w:t>
      </w:r>
      <w:proofErr w:type="spellEnd"/>
      <w:r w:rsidRPr="00BD67D6">
        <w:rPr>
          <w:b/>
          <w:sz w:val="26"/>
        </w:rPr>
        <w:t xml:space="preserve"> Design Automation (ISEDA), Hong Kong, China, 2025, pp. 778-783, </w:t>
      </w:r>
      <w:proofErr w:type="spellStart"/>
      <w:r w:rsidRPr="00BD67D6">
        <w:rPr>
          <w:b/>
          <w:sz w:val="26"/>
        </w:rPr>
        <w:t>doi</w:t>
      </w:r>
      <w:proofErr w:type="spellEnd"/>
      <w:r w:rsidRPr="00BD67D6">
        <w:rPr>
          <w:b/>
          <w:sz w:val="26"/>
        </w:rPr>
        <w:t>: 10.1109/ISEDA65950.2025.11101194.</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33C6C" w14:textId="77777777" w:rsidR="00F045DE" w:rsidRDefault="00F045DE">
      <w:r>
        <w:separator/>
      </w:r>
    </w:p>
  </w:endnote>
  <w:endnote w:type="continuationSeparator" w:id="0">
    <w:p w14:paraId="4373975C" w14:textId="77777777" w:rsidR="00F045DE" w:rsidRDefault="00F0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&#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&#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6EAA" w14:textId="77777777" w:rsidR="00F045DE" w:rsidRDefault="00F045DE">
      <w:r>
        <w:separator/>
      </w:r>
    </w:p>
  </w:footnote>
  <w:footnote w:type="continuationSeparator" w:id="0">
    <w:p w14:paraId="625F51A5" w14:textId="77777777" w:rsidR="00F045DE" w:rsidRDefault="00F04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4"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5"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7"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8"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9"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8"/>
  </w:num>
  <w:num w:numId="2" w16cid:durableId="600256770">
    <w:abstractNumId w:val="6"/>
  </w:num>
  <w:num w:numId="3" w16cid:durableId="1847790405">
    <w:abstractNumId w:val="7"/>
  </w:num>
  <w:num w:numId="4" w16cid:durableId="620917322">
    <w:abstractNumId w:val="0"/>
  </w:num>
  <w:num w:numId="5" w16cid:durableId="1777872603">
    <w:abstractNumId w:val="1"/>
  </w:num>
  <w:num w:numId="6" w16cid:durableId="240214653">
    <w:abstractNumId w:val="3"/>
  </w:num>
  <w:num w:numId="7" w16cid:durableId="1400059777">
    <w:abstractNumId w:val="9"/>
  </w:num>
  <w:num w:numId="8" w16cid:durableId="13044226">
    <w:abstractNumId w:val="2"/>
  </w:num>
  <w:num w:numId="9" w16cid:durableId="2035228985">
    <w:abstractNumId w:val="5"/>
  </w:num>
  <w:num w:numId="10" w16cid:durableId="21378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A3174"/>
    <w:rsid w:val="00192CAB"/>
    <w:rsid w:val="00223169"/>
    <w:rsid w:val="00353666"/>
    <w:rsid w:val="00355C5F"/>
    <w:rsid w:val="00392C4F"/>
    <w:rsid w:val="00396849"/>
    <w:rsid w:val="00446105"/>
    <w:rsid w:val="004B1401"/>
    <w:rsid w:val="004D7A07"/>
    <w:rsid w:val="005834A9"/>
    <w:rsid w:val="006949D5"/>
    <w:rsid w:val="00802269"/>
    <w:rsid w:val="00846E11"/>
    <w:rsid w:val="008A1F5F"/>
    <w:rsid w:val="009C51EF"/>
    <w:rsid w:val="00A86978"/>
    <w:rsid w:val="00B179C0"/>
    <w:rsid w:val="00B90299"/>
    <w:rsid w:val="00BB7995"/>
    <w:rsid w:val="00BD67D6"/>
    <w:rsid w:val="00BF4CED"/>
    <w:rsid w:val="00C30CCB"/>
    <w:rsid w:val="00CC424C"/>
    <w:rsid w:val="00D03744"/>
    <w:rsid w:val="00D32B42"/>
    <w:rsid w:val="00DC00A5"/>
    <w:rsid w:val="00DC58E1"/>
    <w:rsid w:val="00E1339E"/>
    <w:rsid w:val="00EF33B1"/>
    <w:rsid w:val="00F045DE"/>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org/content/ieee-org/en/standards/index.html/"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22</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 - 70282400003</cp:lastModifiedBy>
  <cp:revision>22</cp:revision>
  <dcterms:created xsi:type="dcterms:W3CDTF">2025-10-07T04:54:00Z</dcterms:created>
  <dcterms:modified xsi:type="dcterms:W3CDTF">2025-10-08T12:18:00Z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