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4.5.0 -->
  <w:body>
    <w:p>
      <w:pPr>
        <w:pStyle w:val="Heading1"/>
        <w:bidi w:val="0"/>
      </w:pPr>
      <w:r>
        <w:t>RN-Gerar Número de Contrato/Convênio</w:t>
      </w:r>
    </w:p>
    <w:p>
      <w:pPr>
        <w:bidi w:val="0"/>
      </w:pPr>
      <w:r>
        <w:t xml:space="preserve"> </w:t>
      </w:r>
    </w:p>
    <w:p>
      <w:pPr>
        <w:bidi w:val="0"/>
      </w:pPr>
      <w:r>
        <w:t>Conteúdo do Artefato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3510"/>
        <w:gridCol w:w="910"/>
        <w:gridCol w:w="1883"/>
        <w:gridCol w:w="1007"/>
        <w:gridCol w:w="1041"/>
        <w:gridCol w:w="122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5"/>
          <w:wAfter w:w="1800" w:type="dxa"/>
          <w:cantSplit w:val="0"/>
          <w:trHeight w:val="0"/>
          <w:tblHeader w:val="0"/>
        </w:trPr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44"/>
              </w:rPr>
              <w:t>Histórico de Versões</w:t>
            </w: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Data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Versão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Descrição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Autor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Revisor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Aprovado por</w:t>
            </w: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22/03/2006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1.0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Elaboração do Documento.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17/04/2006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Adequação do documento à novas regras de elaboração.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20/04/2006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Inserção da coluna Editável e da informação Ano na RN2.2.1. 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20/04/2006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1.3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Detalhamento da regra RN2.2.1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26/04/2006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1.4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Adequação às novas definições de requisitos.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27/04/2006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1.5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Alteração da RN2.2.1 e Inclusão das RN2.2.4, RN2.2.5 e RN2.2.6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 e Leonardo Jardim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Fernando Paiva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02/05/2006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1.6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Inclusão da Regra Consultar Número de Contrato/Convênio.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05/05/06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1.7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Alteração da RN2.2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18/12/2006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1.8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Alteração das regras de negócio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31/01/2007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1.9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Alteração do campo Número do Contrato/Convênio, na regra RN2.2.1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07/02/2007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1.10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Alteração da regra RN2.4.1, campo Unidade Responsável pela Fiscalização do Contrato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06/11/2007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Reelaboração da funcionalidade em função da definição de novo formato de numeração de contratos/convênios do DNIT.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 e André Ramos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28/01/2008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Inclusão das referências às Administrações Hidroviárias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Leonardo Jardim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28/04/2008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1.13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Alteração dos valores possíveis do campo Situação: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Não utilizado -&gt; Não utilizado no SIAC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Utilizado -&gt; Utilizado no SIAC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Inutilizado -&gt; Número de Contrato/Convênio Cancelado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02/06/2009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1.14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Atualização das Matrizes de Requisitos referente ao atendimento à SM 167022 sobre documentação do sistema.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Endrigo G. Ferreira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31/07/2009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1.15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Atualização das Matrizes de Requisitos referente ao atendimento à SM 181511 sobre documentação do sistema.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Endrigo G. Ferreira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23/09/2009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1.16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Inclusão da RN2.5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Endrigo G. Ferreira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17/08/2010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1.17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Alteração da RN2.3.1 ref atendimento à SM 254434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André Ramos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14/09/2016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1.18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[SS 1001090 / T 1037772]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Alteração da regra RN2.2.1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Cassiano Kaiss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t> 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t> </w:t>
            </w:r>
          </w:p>
        </w:tc>
      </w:tr>
      <w:tr>
        <w:tblPrEx>
          <w:tblW w:w="0" w:type="auto"/>
          <w:tblInd w:w="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bidi w:val="0"/>
              <w:jc w:val="center"/>
            </w:pPr>
            <w:r>
              <w:t>26/12/2016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bidi w:val="0"/>
              <w:jc w:val="center"/>
            </w:pPr>
            <w:r>
              <w:t>1.19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bidi w:val="0"/>
              <w:jc w:val="center"/>
            </w:pPr>
            <w:r>
              <w:rPr>
                <w:highlight w:val="lightGray"/>
              </w:rPr>
              <w:t>[IB </w:t>
            </w:r>
            <w:r>
              <w:rPr>
                <w:rFonts w:ascii="arial" w:eastAsia="arial" w:hAnsi="arial" w:cs="arial"/>
                <w:highlight w:val="lightGray"/>
              </w:rPr>
              <w:t>1121904</w:t>
            </w:r>
            <w:r>
              <w:rPr>
                <w:highlight w:val="lightGray"/>
              </w:rPr>
              <w:t>] </w:t>
            </w:r>
            <w:r>
              <w:br/>
            </w:r>
            <w:r>
              <w:t xml:space="preserve"> </w:t>
            </w:r>
            <w:r>
              <w:rPr>
                <w:highlight w:val="lightGray"/>
              </w:rPr>
              <w:t>Atualização da Regra RN2.2.1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bidi w:val="0"/>
              <w:jc w:val="center"/>
            </w:pPr>
            <w:r>
              <w:t>Adélia Barros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t> 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t> </w:t>
            </w:r>
          </w:p>
        </w:tc>
      </w:tr>
    </w:tbl>
    <w:p>
      <w:pPr>
        <w:keepNext w:val="0"/>
        <w:keepLines w:val="0"/>
        <w:pageBreakBefore w:val="0"/>
        <w:widowControl w:val="0"/>
        <w:bidi w:val="0"/>
      </w:pPr>
      <w:r>
        <w:t> </w:t>
      </w:r>
      <w:r>
        <w:br/>
      </w:r>
      <w:r>
        <w:t xml:space="preserve"> 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957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br/>
            </w:r>
            <w:r>
              <w:rPr>
                <w:rFonts w:ascii="arial" w:eastAsia="arial" w:hAnsi="arial" w:cs="arial"/>
                <w:b/>
                <w:sz w:val="44"/>
              </w:rPr>
              <w:t>Especificação de Regras de Negócio</w:t>
            </w:r>
          </w:p>
        </w:tc>
      </w:tr>
    </w:tbl>
    <w:p>
      <w:pPr>
        <w:keepNext w:val="0"/>
        <w:keepLines w:val="0"/>
        <w:pageBreakBefore w:val="0"/>
        <w:widowControl w:val="0"/>
        <w:bidi w:val="0"/>
      </w:pPr>
      <w:r>
        <w:t> </w:t>
      </w:r>
      <w:r>
        <w:br/>
      </w:r>
      <w:r>
        <w:t xml:space="preserve"> </w:t>
      </w: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4"/>
        </w:rPr>
        <w:t>1. Objetivo</w:t>
      </w:r>
      <w:r>
        <w:br/>
      </w:r>
      <w:r>
        <w:t xml:space="preserve"> </w:t>
      </w:r>
      <w:r>
        <w:t> </w:t>
      </w:r>
      <w:r>
        <w:rPr>
          <w:rFonts w:ascii="arial" w:eastAsia="arial" w:hAnsi="arial" w:cs="arial"/>
          <w:sz w:val="20"/>
        </w:rPr>
        <w:t>O objetivo da Especificação de Regras de Negócio é documentar as regras que são aplicáveis ao negócio, e que direcionam em maior ou menor grau o funcionamento dos casos de uso. Em geral, regras de negócio constituem declarações de políticas ou condições que devem ser satisfeitas pelo processamento da aplicação.           </w:t>
      </w:r>
      <w:r>
        <w:br/>
      </w:r>
      <w:r>
        <w:t xml:space="preserve"> </w:t>
      </w: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4"/>
        </w:rPr>
        <w:t>2. Regras de Negócio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4"/>
        </w:rPr>
        <w:t>2.1. </w:t>
      </w:r>
      <w:r>
        <w:rPr>
          <w:rFonts w:ascii="arial" w:eastAsia="arial" w:hAnsi="arial" w:cs="arial"/>
          <w:b/>
          <w:sz w:val="24"/>
        </w:rPr>
        <w:t>Regras Gerais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2.1.1 </w:t>
      </w:r>
      <w:r>
        <w:rPr>
          <w:rFonts w:ascii="arial" w:eastAsia="arial" w:hAnsi="arial" w:cs="arial"/>
          <w:sz w:val="20"/>
        </w:rPr>
        <w:t>A qualquer momento, o sistema deve oferecer ao usuário a possibilidade de cancelar a operação em curso e retornar ao fluxo chamador desta.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2.1.2 </w:t>
      </w:r>
      <w:r>
        <w:rPr>
          <w:rFonts w:ascii="arial" w:eastAsia="arial" w:hAnsi="arial" w:cs="arial"/>
          <w:sz w:val="20"/>
        </w:rPr>
        <w:t>O sistema deve oferecer ao usuário a possibilidade de limpeza das entradas de dados, fazendo com que a interface retorne ao seu estado inicial de apresentação.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2.1.3 </w:t>
      </w:r>
      <w:r>
        <w:rPr>
          <w:rFonts w:ascii="arial" w:eastAsia="arial" w:hAnsi="arial" w:cs="arial"/>
          <w:sz w:val="20"/>
        </w:rPr>
        <w:t>A qualquer momento, o sistema deve oferecer ao usuário a possibilidade de imprimir a interface.</w:t>
      </w:r>
      <w:r>
        <w:br/>
      </w:r>
      <w:r>
        <w:t xml:space="preserve"> </w:t>
      </w: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4"/>
        </w:rPr>
        <w:t>2.2. </w:t>
      </w:r>
      <w:r>
        <w:rPr>
          <w:rFonts w:ascii="arial" w:eastAsia="arial" w:hAnsi="arial" w:cs="arial"/>
          <w:b/>
          <w:sz w:val="24"/>
        </w:rPr>
        <w:t>Gerar Número de Contrato/Convênio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2.2.1 </w:t>
      </w:r>
      <w:r>
        <w:rPr>
          <w:rFonts w:ascii="arial" w:eastAsia="arial" w:hAnsi="arial" w:cs="arial"/>
          <w:sz w:val="20"/>
        </w:rPr>
        <w:t>As informações devem obedecer às regras:</w:t>
      </w:r>
      <w:r>
        <w:t xml:space="preserve"> </w:t>
      </w:r>
    </w:p>
    <w:tbl>
      <w:tblPr>
        <w:tblW w:w="0" w:type="auto"/>
        <w:tblInd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48"/>
        <w:gridCol w:w="341"/>
        <w:gridCol w:w="537"/>
        <w:gridCol w:w="572"/>
        <w:gridCol w:w="799"/>
        <w:gridCol w:w="758"/>
        <w:gridCol w:w="730"/>
        <w:gridCol w:w="2391"/>
      </w:tblGrid>
      <w:tr>
        <w:tblPrEx>
          <w:tblW w:w="0" w:type="auto"/>
          <w:tblInd w:w="32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Informação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Editável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Obrigatório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Formato/ Tamanho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Máscara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Valores Possíveis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Regras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 Unidade de Lavratura do Contrato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  <w:r>
              <w:rPr>
                <w:rFonts w:ascii="arial" w:eastAsia="arial" w:hAnsi="arial" w:cs="arial"/>
                <w:strike/>
                <w:sz w:val="16"/>
              </w:rPr>
              <w:t>(*)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15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A Unidade de Lavratura do Contrato corresponde à unidade que lavrou o contrato.</w:t>
            </w:r>
          </w:p>
          <w:p>
            <w:pPr>
              <w:numPr>
                <w:ilvl w:val="0"/>
                <w:numId w:val="15"/>
              </w:numPr>
              <w:bidi w:val="0"/>
              <w:jc w:val="both"/>
            </w:pPr>
            <w:r>
              <w:rPr>
                <w:sz w:val="16"/>
                <w:highlight w:val="yellow"/>
              </w:rPr>
              <w:t>P</w:t>
            </w:r>
            <w:r>
              <w:rPr>
                <w:color w:val="000000"/>
                <w:highlight w:val="yellow"/>
              </w:rPr>
              <w:t>ara cada unidade do escopo de ação do usuário (vide</w:t>
            </w:r>
            <w:hyperlink r:id="rId5" w:history="1">
              <w:r>
                <w:rPr>
                  <w:rFonts w:ascii="Arial Unicode MS" w:eastAsia="Arial Unicode MS" w:hAnsi="Arial Unicode MS" w:cs="Arial Unicode MS"/>
                  <w:b/>
                  <w:i w:val="0"/>
                  <w:strike w:val="0"/>
                  <w:color w:val="0000FF"/>
                  <w:sz w:val="20"/>
                  <w:highlight w:val="yellow"/>
                  <w:u w:val="single"/>
                </w:rPr>
                <w:t> RN2.15</w:t>
              </w:r>
            </w:hyperlink>
            <w:r>
              <w:rPr>
                <w:color w:val="000000"/>
                <w:highlight w:val="yellow"/>
              </w:rPr>
              <w:t>)</w:t>
            </w:r>
            <w:r>
              <w:rPr>
                <w:highlight w:val="yellow"/>
              </w:rPr>
              <w:t> :</w:t>
            </w:r>
          </w:p>
          <w:p>
            <w:pPr>
              <w:numPr>
                <w:ilvl w:val="1"/>
                <w:numId w:val="15"/>
              </w:numPr>
              <w:bidi w:val="0"/>
              <w:jc w:val="both"/>
            </w:pPr>
            <w:r>
              <w:rPr>
                <w:b/>
                <w:color w:val="000000"/>
                <w:sz w:val="16"/>
                <w:highlight w:val="yellow"/>
              </w:rPr>
              <w:t>se for uma Unidade da Sede</w:t>
            </w:r>
            <w:r>
              <w:rPr>
                <w:sz w:val="16"/>
                <w:highlight w:val="yellow"/>
              </w:rPr>
              <w:t> :</w:t>
            </w:r>
            <w:r>
              <w:br/>
            </w:r>
            <w:r>
              <w:rPr>
                <w:sz w:val="16"/>
                <w:highlight w:val="yellow"/>
              </w:rPr>
              <w:t>Listar a própria unidade e as Superintendências Regionais e Administrações Hidroviárias.</w:t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Ou seja, a Sede poderá gerar números de contrato/convênio tanto para si quanto para alguma unidade regional</w:t>
            </w:r>
          </w:p>
          <w:p>
            <w:pPr>
              <w:numPr>
                <w:ilvl w:val="1"/>
                <w:numId w:val="15"/>
              </w:numPr>
              <w:bidi w:val="0"/>
              <w:jc w:val="both"/>
            </w:pPr>
            <w:r>
              <w:rPr>
                <w:b/>
                <w:color w:val="000000"/>
                <w:sz w:val="16"/>
                <w:highlight w:val="yellow"/>
              </w:rPr>
              <w:t>se for uma Superintendência Regional </w:t>
            </w:r>
            <w:r>
              <w:rPr>
                <w:highlight w:val="lightGray"/>
              </w:rPr>
              <w:t>ou Administração Hidroviária</w:t>
            </w:r>
            <w:r>
              <w:rPr>
                <w:color w:val="000000"/>
                <w:sz w:val="16"/>
                <w:highlight w:val="yellow"/>
              </w:rPr>
              <w:t> :</w:t>
            </w:r>
          </w:p>
          <w:p>
            <w:pPr>
              <w:bidi w:val="0"/>
            </w:pPr>
            <w:r>
              <w:rPr>
                <w:color w:val="000000"/>
                <w:sz w:val="16"/>
                <w:highlight w:val="yellow"/>
              </w:rPr>
              <w:t>Listar apenas a própria unidade.</w:t>
            </w:r>
            <w:r>
              <w:rPr>
                <w:strike/>
                <w:sz w:val="16"/>
                <w:highlight w:val="yellow"/>
              </w:rPr>
              <w:t>Neste caso, o campo deve ser bloqueado. </w:t>
            </w:r>
            <w:r>
              <w:rPr>
                <w:rFonts w:ascii="arial" w:eastAsia="arial" w:hAnsi="arial" w:cs="arial"/>
                <w:sz w:val="16"/>
              </w:rPr>
              <w:t>Ou seja, não será permitido que as unidades regionais gerem número de contrato para a Sede ou para qualquer outra unidade regional diferente dela.</w:t>
            </w:r>
            <w:r>
              <w:t xml:space="preserve"> </w:t>
            </w:r>
          </w:p>
          <w:p>
            <w:pPr>
              <w:numPr>
                <w:ilvl w:val="0"/>
                <w:numId w:val="16"/>
              </w:numPr>
              <w:bidi w:val="0"/>
            </w:pPr>
            <w:r>
              <w:rPr>
                <w:rFonts w:ascii="arial" w:eastAsia="arial" w:hAnsi="arial" w:cs="arial"/>
                <w:sz w:val="16"/>
              </w:rPr>
              <w:t>Caso não seja informado, apresentar mensagem </w:t>
            </w:r>
            <w:hyperlink r:id="rId6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MS2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  <w:p>
            <w:pPr>
              <w:numPr>
                <w:ilvl w:val="0"/>
                <w:numId w:val="16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Nenhum valor é padrão.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Gestora do Contrato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Alfanumérico/80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17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A Unidade Gestora do Contrato corresponde à unidade que fará a gestão do contrato, sendo responsável pelo lançamento de termos aditivos, apostilamentos, vinculação de empenhos ao contrato, cadastramento de garantias, etc.</w:t>
            </w:r>
          </w:p>
          <w:p>
            <w:pPr>
              <w:numPr>
                <w:ilvl w:val="0"/>
                <w:numId w:val="17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A Unidade Gestora do Contrato deve ser informada no momento da geração do número do contrato, de forma </w:t>
            </w:r>
            <w:r>
              <w:rPr>
                <w:b/>
              </w:rPr>
              <w:t>Unidade Gestora do Contrato</w:t>
            </w:r>
            <w:r>
              <w:t>que somente a unidade informada possa cadastrar, e gerir, o contrato no SIAC posteriormente.</w:t>
            </w:r>
          </w:p>
          <w:p>
            <w:pPr>
              <w:numPr>
                <w:ilvl w:val="0"/>
                <w:numId w:val="17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O sistema deve deixar explícito que, para informar a Unidade Gestora do Contrato, o ator deve fornecer a Sigla ou o Nome dela. Caso o ator opte por informar o Nome, deverão ser observadas as regras:</w:t>
            </w:r>
          </w:p>
          <w:p>
            <w:pPr>
              <w:bidi w:val="0"/>
            </w:pP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O ator poderá informar o Nome todo, ou parte dele. 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Não deve existir sensibilidade à digitação de letras maiúsculas, minúsculas e nem de palavras acentuadas.  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As Unidades Gestoras de Contrato recuperadas devem ser exibidas através da concatenação de informações que auxiliem na diferenciação entre elas. São elas: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Sigla da Unidade Gestora do Contrato;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Nome da Unidade Gestora do Contrato;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• </w:t>
            </w:r>
            <w:r>
              <w:rPr>
                <w:rFonts w:ascii="arial" w:eastAsia="arial" w:hAnsi="arial" w:cs="arial"/>
                <w:sz w:val="16"/>
              </w:rPr>
              <w:t>Caso não seja informado, apresentar mensagem</w:t>
            </w:r>
            <w:r>
              <w:t xml:space="preserve"> </w:t>
            </w:r>
            <w:hyperlink r:id="rId6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MS2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Solicitante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de Lotação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Alfanumérico/80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18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O intuito do campo Unidade de Lotação é registrar a unidade de lotação do solicitante do número de contrato.</w:t>
            </w:r>
          </w:p>
          <w:p>
            <w:pPr>
              <w:numPr>
                <w:ilvl w:val="0"/>
                <w:numId w:val="18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O sistema deve deixar explícito que, para informar a Unidade de Lotação, o ator deve fornecer a Sigla ou o Nome dela. Caso o ator opte por informar o Nome, deverão ser observadas as regras:</w:t>
            </w:r>
          </w:p>
          <w:p>
            <w:pPr>
              <w:bidi w:val="0"/>
            </w:pP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O ator poderá informar o Nome todo, ou parte dele. 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Não deve existir sensibilidade à digitação de letras maiúsculas, minúsculas e nem de palavras acentuadas.  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As Unidades Gestoras de Contrato recuperadas devem ser exibidas através da concatenação de informações que auxiliem na diferenciação entre elas. São elas: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Sigla da Unidade Gestora do Contrato;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⇨ </w:t>
            </w:r>
            <w:r>
              <w:rPr>
                <w:rFonts w:ascii="arial" w:eastAsia="arial" w:hAnsi="arial" w:cs="arial"/>
                <w:sz w:val="16"/>
              </w:rPr>
              <w:t>Nome da Unidade Gestora do Contrato;</w:t>
            </w:r>
            <w:r>
              <w:br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• </w:t>
            </w:r>
            <w:r>
              <w:rPr>
                <w:rFonts w:ascii="arial" w:eastAsia="arial" w:hAnsi="arial" w:cs="arial"/>
                <w:sz w:val="16"/>
              </w:rPr>
              <w:t>Caso não seja informado, apresentar mensagem</w:t>
            </w:r>
            <w:r>
              <w:t xml:space="preserve"> </w:t>
            </w:r>
            <w:hyperlink r:id="rId6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MS2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Alfanumérico/60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Caso não seja informado, apresentar mensagem</w:t>
            </w:r>
            <w:r>
              <w:t xml:space="preserve"> </w:t>
            </w:r>
            <w:hyperlink r:id="rId6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MS2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Telefone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DDD Numérico/2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Telefone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Numérico/8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DDD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99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Telefone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9999-9999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Este campo é dividido em duas partes: a primeira parte é o DDD e a segunda o número do telefone.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Número do Contrato/Convênio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Não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Numérico/5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NNNNN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19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Este campo não deve ser visível.</w:t>
            </w:r>
          </w:p>
          <w:p>
            <w:pPr>
              <w:numPr>
                <w:ilvl w:val="0"/>
                <w:numId w:val="19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O sistema deve gerar um número seqüencial para cada contrato ou convênio gerado em todo o DNIT.</w:t>
            </w:r>
          </w:p>
          <w:p>
            <w:pPr>
              <w:numPr>
                <w:ilvl w:val="0"/>
                <w:numId w:val="19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A seqüência deve ser zerada ao início de cada ano.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Ano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Não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Numérico/4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YYYY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Este campo não deve ser visível, e deve receber por valor o ano corrente.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Situação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Não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20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Existem três situações nas quais um número de contrato/convênio pode estar: </w:t>
            </w:r>
            <w:r>
              <w:rPr>
                <w:rFonts w:ascii="arial" w:eastAsia="arial" w:hAnsi="arial" w:cs="arial"/>
                <w:b/>
                <w:sz w:val="16"/>
              </w:rPr>
              <w:t>Não utilizado no SIAC</w:t>
            </w:r>
            <w:r>
              <w:rPr>
                <w:rFonts w:ascii="arial" w:eastAsia="arial" w:hAnsi="arial" w:cs="arial"/>
                <w:sz w:val="16"/>
              </w:rPr>
              <w:t>, </w:t>
            </w:r>
            <w:r>
              <w:rPr>
                <w:rFonts w:ascii="arial" w:eastAsia="arial" w:hAnsi="arial" w:cs="arial"/>
                <w:b/>
                <w:sz w:val="16"/>
              </w:rPr>
              <w:t>Utilizado no SIAC</w:t>
            </w:r>
            <w:r>
              <w:rPr>
                <w:rFonts w:ascii="arial" w:eastAsia="arial" w:hAnsi="arial" w:cs="arial"/>
                <w:sz w:val="16"/>
              </w:rPr>
              <w:t>, </w:t>
            </w:r>
            <w:r>
              <w:rPr>
                <w:rFonts w:ascii="arial" w:eastAsia="arial" w:hAnsi="arial" w:cs="arial"/>
                <w:b/>
                <w:sz w:val="16"/>
              </w:rPr>
              <w:t>Número de Contrato/Convênio Cancelado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  <w:p>
            <w:pPr>
              <w:numPr>
                <w:ilvl w:val="0"/>
                <w:numId w:val="20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Imediatamente após a geração do número, a situação é </w:t>
            </w:r>
            <w:r>
              <w:rPr>
                <w:rFonts w:ascii="arial" w:eastAsia="arial" w:hAnsi="arial" w:cs="arial"/>
                <w:b/>
                <w:sz w:val="16"/>
              </w:rPr>
              <w:t>Não Utilizado no SIAC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  <w:p>
            <w:pPr>
              <w:numPr>
                <w:ilvl w:val="0"/>
                <w:numId w:val="20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A situação será alterada, automaticamente, para </w:t>
            </w:r>
            <w:r>
              <w:rPr>
                <w:rFonts w:ascii="arial" w:eastAsia="arial" w:hAnsi="arial" w:cs="arial"/>
                <w:b/>
                <w:sz w:val="16"/>
              </w:rPr>
              <w:t>Utilizado no SIAC</w:t>
            </w:r>
            <w:r>
              <w:rPr>
                <w:rFonts w:ascii="arial" w:eastAsia="arial" w:hAnsi="arial" w:cs="arial"/>
                <w:sz w:val="16"/>
              </w:rPr>
              <w:t> quando ele for cadastrado no SIAC.</w:t>
            </w:r>
          </w:p>
          <w:p>
            <w:pPr>
              <w:numPr>
                <w:ilvl w:val="0"/>
                <w:numId w:val="20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A situação </w:t>
            </w:r>
            <w:r>
              <w:rPr>
                <w:rFonts w:ascii="arial" w:eastAsia="arial" w:hAnsi="arial" w:cs="arial"/>
                <w:b/>
                <w:sz w:val="16"/>
              </w:rPr>
              <w:t>Número de Contrato/Convênio Cancelado</w:t>
            </w:r>
            <w:r>
              <w:rPr>
                <w:rFonts w:ascii="arial" w:eastAsia="arial" w:hAnsi="arial" w:cs="arial"/>
                <w:sz w:val="16"/>
              </w:rPr>
              <w:t> deve ser usada quando, por algum motivo, o número do contrato for cancelado.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Observação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Texto livre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</w:tr>
    </w:tbl>
    <w:p>
      <w:pPr>
        <w:keepNext w:val="0"/>
        <w:keepLines w:val="0"/>
        <w:pageBreakBefore w:val="0"/>
        <w:widowControl w:val="0"/>
        <w:bidi w:val="0"/>
      </w:pP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2.2.2 </w:t>
      </w:r>
      <w:r>
        <w:rPr>
          <w:rFonts w:ascii="arial" w:eastAsia="arial" w:hAnsi="arial" w:cs="arial"/>
          <w:sz w:val="20"/>
        </w:rPr>
        <w:t>Formato do número do contrato/convênio:</w:t>
      </w:r>
      <w:r>
        <w:t xml:space="preserve"> </w:t>
      </w:r>
    </w:p>
    <w:tbl>
      <w:tblPr>
        <w:tblW w:w="0" w:type="auto"/>
        <w:jc w:val="left"/>
        <w:tblInd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80"/>
        <w:gridCol w:w="3195"/>
      </w:tblGrid>
      <w:tr>
        <w:tblPrEx>
          <w:tblW w:w="0" w:type="auto"/>
          <w:jc w:val="left"/>
          <w:tblInd w:w="16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  <w:jc w:val="left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SIAC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SIASG</w:t>
            </w:r>
          </w:p>
        </w:tc>
      </w:tr>
      <w:tr>
        <w:tblPrEx>
          <w:tblW w:w="0" w:type="auto"/>
          <w:jc w:val="left"/>
          <w:tblInd w:w="16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  <w:jc w:val="left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NNNNN/YYYY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XXXXXX NNNNN/YYYY</w:t>
            </w:r>
          </w:p>
        </w:tc>
      </w:tr>
    </w:tbl>
    <w:p>
      <w:pPr>
        <w:keepNext w:val="0"/>
        <w:keepLines w:val="0"/>
        <w:pageBreakBefore w:val="0"/>
        <w:widowControl w:val="0"/>
        <w:bidi w:val="0"/>
      </w:pPr>
      <w:r>
        <w:t> </w:t>
      </w:r>
      <w:r>
        <w:br/>
      </w:r>
      <w:r>
        <w:t xml:space="preserve"> </w:t>
      </w: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sz w:val="20"/>
        </w:rPr>
        <w:t>Onde: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NNNNN Número do Contrato/Convênio</w:t>
      </w:r>
      <w:r>
        <w:br/>
      </w:r>
      <w:r>
        <w:t xml:space="preserve"> </w:t>
      </w:r>
      <w:r>
        <w:rPr>
          <w:rFonts w:ascii="arial" w:eastAsia="arial" w:hAnsi="arial" w:cs="arial"/>
          <w:sz w:val="20"/>
        </w:rPr>
        <w:t>Número seqüencial gerado para o campo Número do Contrato/Convênio, na regra</w:t>
      </w:r>
      <w:r>
        <w:t xml:space="preserve"> </w:t>
      </w:r>
      <w:r>
        <w:rPr>
          <w:rFonts w:ascii="arial" w:eastAsia="arial" w:hAnsi="arial" w:cs="arial"/>
          <w:b/>
          <w:sz w:val="20"/>
        </w:rPr>
        <w:t>2.2.1</w:t>
      </w:r>
      <w:r>
        <w:rPr>
          <w:rFonts w:ascii="arial" w:eastAsia="arial" w:hAnsi="arial" w:cs="arial"/>
          <w:sz w:val="20"/>
        </w:rPr>
        <w:t>.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YYYY Ano</w:t>
      </w:r>
      <w:r>
        <w:br/>
      </w:r>
      <w:r>
        <w:t xml:space="preserve"> </w:t>
      </w:r>
      <w:r>
        <w:rPr>
          <w:rFonts w:ascii="arial" w:eastAsia="arial" w:hAnsi="arial" w:cs="arial"/>
          <w:sz w:val="20"/>
        </w:rPr>
        <w:t>Deve ser utilizado o valor do campo Ano, da regra</w:t>
      </w:r>
      <w:r>
        <w:t xml:space="preserve"> </w:t>
      </w:r>
      <w:r>
        <w:rPr>
          <w:rFonts w:ascii="arial" w:eastAsia="arial" w:hAnsi="arial" w:cs="arial"/>
          <w:b/>
          <w:sz w:val="20"/>
        </w:rPr>
        <w:t>2.2.1</w:t>
      </w:r>
      <w:r>
        <w:rPr>
          <w:rFonts w:ascii="arial" w:eastAsia="arial" w:hAnsi="arial" w:cs="arial"/>
          <w:sz w:val="20"/>
        </w:rPr>
        <w:t>.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XXXXXX Código da UASG</w:t>
      </w:r>
      <w:r>
        <w:br/>
      </w:r>
      <w:r>
        <w:t xml:space="preserve"> </w:t>
      </w:r>
      <w:r>
        <w:rPr>
          <w:rFonts w:ascii="arial" w:eastAsia="arial" w:hAnsi="arial" w:cs="arial"/>
          <w:sz w:val="20"/>
        </w:rPr>
        <w:t>Deve ser utilizado o código UASG da unidade selecionada no campo Unidade de Lavratura do Contrato, da regra</w:t>
      </w:r>
      <w:r>
        <w:t xml:space="preserve"> </w:t>
      </w:r>
      <w:r>
        <w:rPr>
          <w:rFonts w:ascii="arial" w:eastAsia="arial" w:hAnsi="arial" w:cs="arial"/>
          <w:b/>
          <w:sz w:val="20"/>
        </w:rPr>
        <w:t>2.2.1</w:t>
      </w:r>
      <w:r>
        <w:rPr>
          <w:rFonts w:ascii="arial" w:eastAsia="arial" w:hAnsi="arial" w:cs="arial"/>
          <w:sz w:val="20"/>
        </w:rPr>
        <w:t>.</w:t>
      </w:r>
      <w:r>
        <w:br/>
      </w:r>
      <w:r>
        <w:t xml:space="preserve"> </w:t>
      </w: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4"/>
        </w:rPr>
        <w:t>2.3. </w:t>
      </w:r>
      <w:r>
        <w:rPr>
          <w:rFonts w:ascii="arial" w:eastAsia="arial" w:hAnsi="arial" w:cs="arial"/>
          <w:b/>
          <w:sz w:val="24"/>
        </w:rPr>
        <w:t>Alterar Dados de Número de Contrato/Convênio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2.3.1 </w:t>
      </w:r>
      <w:r>
        <w:rPr>
          <w:rFonts w:ascii="arial" w:eastAsia="arial" w:hAnsi="arial" w:cs="arial"/>
          <w:sz w:val="20"/>
        </w:rPr>
        <w:t>Neste fluxo, a menos que disposto em contrário, devem ser exibidos os valores pré-existentes. As informações devem obedecer às regras:</w:t>
      </w:r>
      <w:r>
        <w:t xml:space="preserve"> </w:t>
      </w:r>
    </w:p>
    <w:tbl>
      <w:tblPr>
        <w:tblW w:w="0" w:type="auto"/>
        <w:tblInd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86"/>
        <w:gridCol w:w="407"/>
        <w:gridCol w:w="350"/>
        <w:gridCol w:w="529"/>
        <w:gridCol w:w="436"/>
        <w:gridCol w:w="515"/>
        <w:gridCol w:w="615"/>
        <w:gridCol w:w="3338"/>
      </w:tblGrid>
      <w:tr>
        <w:tblPrEx>
          <w:tblW w:w="0" w:type="auto"/>
          <w:tblInd w:w="32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Informação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Obrigatório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Formato/ Tamanho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Máscara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Valores Possíveis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Regras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Número do Contrato/Convênio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NNNNN/YYYY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21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Caso o ator seja de uma unidade da Sede, exibir lista contendo os números dos contratos/convênios que ainda não tenham sido cadastrados no Sistema de Acompanhamento de Contratos (SIAC).</w:t>
            </w:r>
          </w:p>
          <w:p>
            <w:pPr>
              <w:numPr>
                <w:ilvl w:val="0"/>
                <w:numId w:val="21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Caso o ator seja de uma Superintendência Regional ou Administração Hidroviária, exibir lista contendo os números que ainda não tenham sido cadastrados no Sistema de Acompanhamento de Contratos (SIAC) </w:t>
            </w:r>
            <w:r>
              <w:rPr>
                <w:rFonts w:ascii="arial" w:eastAsia="arial" w:hAnsi="arial" w:cs="arial"/>
                <w:b/>
                <w:sz w:val="16"/>
              </w:rPr>
              <w:t>e</w:t>
            </w:r>
            <w:r>
              <w:rPr>
                <w:rFonts w:ascii="arial" w:eastAsia="arial" w:hAnsi="arial" w:cs="arial"/>
                <w:sz w:val="16"/>
              </w:rPr>
              <w:t> cuja Unidade de Lavratura do Contrato seja a própria unidade do ator.</w:t>
            </w:r>
          </w:p>
          <w:p>
            <w:pPr>
              <w:numPr>
                <w:ilvl w:val="0"/>
                <w:numId w:val="21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Caso não seja informado, apresentar mensagem</w:t>
            </w:r>
            <w:r>
              <w:t xml:space="preserve"> </w:t>
            </w:r>
            <w:hyperlink r:id="rId6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MS2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  <w:p>
            <w:pPr>
              <w:numPr>
                <w:ilvl w:val="0"/>
                <w:numId w:val="21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Nenhum valor é padrão.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 Unidade de Lavratura do Contrato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22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Exibir a Unidade de Lavratura do Contrato.</w:t>
            </w:r>
          </w:p>
          <w:p>
            <w:pPr>
              <w:numPr>
                <w:ilvl w:val="0"/>
                <w:numId w:val="22"/>
              </w:numPr>
              <w:bidi w:val="0"/>
            </w:pPr>
            <w:r>
              <w:rPr>
                <w:rFonts w:ascii="arial" w:eastAsia="arial" w:hAnsi="arial" w:cs="arial"/>
                <w:sz w:val="16"/>
              </w:rPr>
              <w:t>Caso o ator seja de uma unidade da Sede, exibir lista contendo a Sede acrescida das Superintendências Regionais e Administrações Hidroviárias cadastradas no sistema. Ou seja, a Sede poderá gerar números de contrato/convênio tanto para si quanto para alguma unidade regional.</w:t>
            </w:r>
          </w:p>
          <w:p>
            <w:pPr>
              <w:numPr>
                <w:ilvl w:val="0"/>
                <w:numId w:val="22"/>
              </w:numPr>
              <w:bidi w:val="0"/>
            </w:pPr>
            <w:r>
              <w:rPr>
                <w:rFonts w:ascii="arial" w:eastAsia="arial" w:hAnsi="arial" w:cs="arial"/>
                <w:sz w:val="16"/>
              </w:rPr>
              <w:t>Caso o ator seja de uma Superintendência Regional ou Administração Hidroviária, este campo deverá vir preenchido com a sua unidade, não sendo, portanto editável (*). Ou seja, não será permitido que as unidades regionais gerem número de contrato para a Sede ou para qualquer outra unidade regional diferente dela.</w:t>
            </w:r>
          </w:p>
          <w:p>
            <w:pPr>
              <w:numPr>
                <w:ilvl w:val="0"/>
                <w:numId w:val="22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Caso não seja informado, apresentar mensagem</w:t>
            </w:r>
            <w:r>
              <w:t xml:space="preserve"> </w:t>
            </w:r>
            <w:hyperlink r:id="rId6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MS2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4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Gestora do Contrato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 Regras são idênticas às regras do campo homônimo da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>2.2.1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4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 Regras são idênticas às regras do campo homônimo da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>2.2.1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3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Solicitante</w:t>
            </w:r>
          </w:p>
        </w:tc>
        <w:tc>
          <w:tcPr>
            <w:tcW w:w="8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de Lotação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 Regras são idênticas às regras do campo homônimo da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>2.2.1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3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85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 Regras são idênticas às regras do campo homônimo da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>2.2.1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3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Nome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 Regras são idênticas às regras do campo homônimo da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>2.2.1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3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Telefone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 Regras são idênticas às regras do campo homônimo da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>2.2.1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Situação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Não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23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Deve ser possível alterar a situação de um número de contrato da situação </w:t>
            </w:r>
            <w:r>
              <w:rPr>
                <w:rFonts w:ascii="arial" w:eastAsia="arial" w:hAnsi="arial" w:cs="arial"/>
                <w:b/>
                <w:sz w:val="16"/>
              </w:rPr>
              <w:t>Não utilizado no SIAC</w:t>
            </w:r>
            <w:r>
              <w:rPr>
                <w:rFonts w:ascii="arial" w:eastAsia="arial" w:hAnsi="arial" w:cs="arial"/>
                <w:sz w:val="16"/>
              </w:rPr>
              <w:t> para a situação </w:t>
            </w:r>
            <w:r>
              <w:rPr>
                <w:rFonts w:ascii="arial" w:eastAsia="arial" w:hAnsi="arial" w:cs="arial"/>
                <w:b/>
                <w:sz w:val="16"/>
              </w:rPr>
              <w:t>Número de Contrato/Convênio Cancelado</w:t>
            </w:r>
            <w:r>
              <w:rPr>
                <w:rFonts w:ascii="arial" w:eastAsia="arial" w:hAnsi="arial" w:cs="arial"/>
                <w:sz w:val="16"/>
              </w:rPr>
              <w:t> e vice-versa.</w:t>
            </w:r>
          </w:p>
          <w:p>
            <w:pPr>
              <w:numPr>
                <w:ilvl w:val="0"/>
                <w:numId w:val="23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Uma vez que um número de contrato/convênio tenha passado à  situação </w:t>
            </w:r>
            <w:r>
              <w:rPr>
                <w:rFonts w:ascii="arial" w:eastAsia="arial" w:hAnsi="arial" w:cs="arial"/>
                <w:b/>
                <w:sz w:val="16"/>
              </w:rPr>
              <w:t>Número de Contrato/Convênio Cancelado</w:t>
            </w:r>
            <w:r>
              <w:rPr>
                <w:rFonts w:ascii="arial" w:eastAsia="arial" w:hAnsi="arial" w:cs="arial"/>
                <w:sz w:val="16"/>
              </w:rPr>
              <w:t>, este número não pode ser reaproveitado, a menos que a situação dele seja alterada de </w:t>
            </w:r>
            <w:r>
              <w:rPr>
                <w:rFonts w:ascii="arial" w:eastAsia="arial" w:hAnsi="arial" w:cs="arial"/>
                <w:b/>
                <w:sz w:val="16"/>
              </w:rPr>
              <w:t>Número de Contrato/Convênio Cancelado</w:t>
            </w:r>
            <w:r>
              <w:rPr>
                <w:rFonts w:ascii="arial" w:eastAsia="arial" w:hAnsi="arial" w:cs="arial"/>
                <w:sz w:val="16"/>
              </w:rPr>
              <w:t> para </w:t>
            </w:r>
            <w:r>
              <w:rPr>
                <w:rFonts w:ascii="arial" w:eastAsia="arial" w:hAnsi="arial" w:cs="arial"/>
                <w:b/>
                <w:sz w:val="16"/>
              </w:rPr>
              <w:t>Não utilizado no SIAC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Observação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7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 Regras são idênticas às regras do campo homônimo da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>2.2.1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</w:tbl>
    <w:p>
      <w:pPr>
        <w:keepNext w:val="0"/>
        <w:keepLines w:val="0"/>
        <w:pageBreakBefore w:val="0"/>
        <w:widowControl w:val="0"/>
        <w:bidi w:val="0"/>
      </w:pPr>
      <w:r>
        <w:t> </w:t>
      </w:r>
      <w:r>
        <w:br/>
      </w:r>
      <w:r>
        <w:t xml:space="preserve"> </w:t>
      </w: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4"/>
        </w:rPr>
        <w:t>2.4.  </w:t>
      </w:r>
      <w:r>
        <w:rPr>
          <w:rFonts w:ascii="arial" w:eastAsia="arial" w:hAnsi="arial" w:cs="arial"/>
          <w:b/>
          <w:sz w:val="24"/>
        </w:rPr>
        <w:t>Consultar Número de Contrato/Convênio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2.4.1 </w:t>
      </w:r>
      <w:r>
        <w:rPr>
          <w:rFonts w:ascii="arial" w:eastAsia="arial" w:hAnsi="arial" w:cs="arial"/>
          <w:sz w:val="20"/>
        </w:rPr>
        <w:t>O filtro da consulta deve ser composto de pelo menos uma das seguintes informações:</w:t>
      </w:r>
      <w:r>
        <w:t xml:space="preserve"> </w:t>
      </w:r>
    </w:p>
    <w:tbl>
      <w:tblPr>
        <w:tblW w:w="0" w:type="auto"/>
        <w:tblInd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989"/>
        <w:gridCol w:w="572"/>
        <w:gridCol w:w="721"/>
        <w:gridCol w:w="887"/>
        <w:gridCol w:w="825"/>
        <w:gridCol w:w="1199"/>
        <w:gridCol w:w="1183"/>
      </w:tblGrid>
      <w:tr>
        <w:tblPrEx>
          <w:tblW w:w="0" w:type="auto"/>
          <w:tblInd w:w="32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Campo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Editável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Obrigatório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Formato/ Tamanho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Máscara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Valores Possíveis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Regras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Número do Contrato/Convênio no SIAC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Alfanumérico/10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NNNNN/YYYY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24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Caso não atenda à máscara, exibir a mensagem </w:t>
            </w:r>
            <w:hyperlink r:id="rId7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MS3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  <w:p>
            <w:pPr>
              <w:numPr>
                <w:ilvl w:val="0"/>
                <w:numId w:val="24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Caso o número informado não exista no sistema, exibir a mensagem </w:t>
            </w:r>
            <w:hyperlink r:id="rId8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MS4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Número do Contrato/Convênio no SIASG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Alfanumérico/16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XXXXXX NNNNN/YYYY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25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Caso não atenda à máscara, exibir a mensagem</w:t>
            </w:r>
            <w:r>
              <w:t xml:space="preserve"> </w:t>
            </w:r>
            <w:hyperlink r:id="rId7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MS3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  <w:p>
            <w:pPr>
              <w:numPr>
                <w:ilvl w:val="0"/>
                <w:numId w:val="25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Caso o número informado não exista no sistema, exibir a mensagem</w:t>
            </w:r>
            <w:r>
              <w:t xml:space="preserve"> </w:t>
            </w:r>
            <w:hyperlink r:id="rId8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MS4</w:t>
              </w:r>
            </w:hyperlink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de Lavratura do Contrato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Exibir lista contendo a Sede acrescida das Superintendências Regionais cadastradas no sistema.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Gestora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t> 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Regras são idênticas às regras do campo homônimo da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>2.2.1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Solicitante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t> 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Regras são idênticas às regras do campo homônimo da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>2.2.1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Ano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Deve ser apresentada uma lista contendo os anos em que foram gerados números de contrato/convênio automaticamente.  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Situação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(*)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26"/>
              </w:numPr>
              <w:bidi w:val="0"/>
            </w:pPr>
            <w:r>
              <w:rPr>
                <w:rFonts w:ascii="arial" w:eastAsia="arial" w:hAnsi="arial" w:cs="arial"/>
                <w:sz w:val="16"/>
              </w:rPr>
              <w:t>Utilizado no SIAC</w:t>
            </w:r>
          </w:p>
          <w:p>
            <w:pPr>
              <w:numPr>
                <w:ilvl w:val="0"/>
                <w:numId w:val="26"/>
              </w:numPr>
              <w:bidi w:val="0"/>
            </w:pPr>
            <w:r>
              <w:rPr>
                <w:rFonts w:ascii="arial" w:eastAsia="arial" w:hAnsi="arial" w:cs="arial"/>
                <w:sz w:val="16"/>
              </w:rPr>
              <w:t>Não utilizado no SIAC</w:t>
            </w:r>
          </w:p>
          <w:p>
            <w:pPr>
              <w:numPr>
                <w:ilvl w:val="0"/>
                <w:numId w:val="26"/>
              </w:numPr>
              <w:bidi w:val="0"/>
            </w:pPr>
            <w:r>
              <w:rPr>
                <w:rFonts w:ascii="arial" w:eastAsia="arial" w:hAnsi="arial" w:cs="arial"/>
                <w:sz w:val="16"/>
              </w:rPr>
              <w:t>Número de Contrato/Convênio Cancelado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</w:tr>
    </w:tbl>
    <w:p>
      <w:pPr>
        <w:keepNext w:val="0"/>
        <w:keepLines w:val="0"/>
        <w:pageBreakBefore w:val="0"/>
        <w:widowControl w:val="0"/>
        <w:bidi w:val="0"/>
      </w:pP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2.4.2 </w:t>
      </w:r>
      <w:r>
        <w:rPr>
          <w:rFonts w:ascii="arial" w:eastAsia="arial" w:hAnsi="arial" w:cs="arial"/>
          <w:sz w:val="20"/>
        </w:rPr>
        <w:t>(*) Caso não seja informado valor para nenhum dos campos da regra</w:t>
      </w:r>
      <w:r>
        <w:t xml:space="preserve"> </w:t>
      </w:r>
      <w:r>
        <w:rPr>
          <w:rFonts w:ascii="arial" w:eastAsia="arial" w:hAnsi="arial" w:cs="arial"/>
          <w:b/>
          <w:sz w:val="20"/>
        </w:rPr>
        <w:t>2.4.1</w:t>
      </w:r>
      <w:r>
        <w:rPr>
          <w:rFonts w:ascii="arial" w:eastAsia="arial" w:hAnsi="arial" w:cs="arial"/>
          <w:sz w:val="20"/>
        </w:rPr>
        <w:t>, exibir a mensagem </w:t>
      </w:r>
      <w:hyperlink r:id="rId9" w:history="1">
        <w:r>
          <w:rPr>
            <w:rFonts w:ascii="Arial Unicode MS" w:eastAsia="Arial Unicode MS" w:hAnsi="Arial Unicode MS" w:cs="Arial Unicode MS"/>
            <w:b w:val="0"/>
            <w:i w:val="0"/>
            <w:strike w:val="0"/>
            <w:color w:val="0000FF"/>
            <w:sz w:val="20"/>
            <w:u w:val="single"/>
          </w:rPr>
          <w:t>MS12</w:t>
        </w:r>
      </w:hyperlink>
      <w:r>
        <w:rPr>
          <w:rFonts w:ascii="arial" w:eastAsia="arial" w:hAnsi="arial" w:cs="arial"/>
          <w:sz w:val="20"/>
        </w:rPr>
        <w:t>.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2.4.3 </w:t>
      </w:r>
      <w:r>
        <w:rPr>
          <w:rFonts w:ascii="arial" w:eastAsia="arial" w:hAnsi="arial" w:cs="arial"/>
          <w:sz w:val="20"/>
        </w:rPr>
        <w:t>O resultado da consulta deve apresentar as seguintes informações:</w:t>
      </w:r>
      <w:r>
        <w:t xml:space="preserve"> </w:t>
      </w:r>
    </w:p>
    <w:tbl>
      <w:tblPr>
        <w:tblW w:w="0" w:type="auto"/>
        <w:tblInd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511"/>
        <w:gridCol w:w="506"/>
        <w:gridCol w:w="1"/>
        <w:gridCol w:w="433"/>
        <w:gridCol w:w="795"/>
        <w:gridCol w:w="1"/>
        <w:gridCol w:w="4129"/>
      </w:tblGrid>
      <w:tr>
        <w:tblPrEx>
          <w:tblW w:w="0" w:type="auto"/>
          <w:tblInd w:w="32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7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Informação</w:t>
            </w:r>
          </w:p>
        </w:tc>
        <w:tc>
          <w:tcPr>
            <w:tcW w:w="21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Máscara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Regras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8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Número do Contrato/ Convênio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SIAC</w:t>
            </w:r>
          </w:p>
        </w:tc>
        <w:tc>
          <w:tcPr>
            <w:tcW w:w="21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NNNNN/YYYY</w:t>
            </w:r>
          </w:p>
        </w:tc>
        <w:tc>
          <w:tcPr>
            <w:tcW w:w="715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8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SIASG</w:t>
            </w:r>
          </w:p>
        </w:tc>
        <w:tc>
          <w:tcPr>
            <w:tcW w:w="21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XXXXXX NNNNN/YYYY</w:t>
            </w:r>
          </w:p>
        </w:tc>
        <w:tc>
          <w:tcPr>
            <w:tcW w:w="715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7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 Unidade de Lavratura do Contrato </w:t>
            </w:r>
          </w:p>
        </w:tc>
        <w:tc>
          <w:tcPr>
            <w:tcW w:w="21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7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Gestora do Contrato</w:t>
            </w:r>
          </w:p>
        </w:tc>
        <w:tc>
          <w:tcPr>
            <w:tcW w:w="21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Exibir, concatenado, a Sigla e o Nome da Unidade Gestora do Contrato.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8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Solicitante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de Lotação</w:t>
            </w:r>
          </w:p>
        </w:tc>
        <w:tc>
          <w:tcPr>
            <w:tcW w:w="21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Exibir, concatenado, a Sigla e o Nome da Unidade de Lotação do solicitante do número do contrato.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8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Nome</w:t>
            </w:r>
          </w:p>
        </w:tc>
        <w:tc>
          <w:tcPr>
            <w:tcW w:w="21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8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Telefone</w:t>
            </w:r>
          </w:p>
        </w:tc>
        <w:tc>
          <w:tcPr>
            <w:tcW w:w="7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DDD: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99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Telefone: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9999-9999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7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Situação</w:t>
            </w:r>
          </w:p>
        </w:tc>
        <w:tc>
          <w:tcPr>
            <w:tcW w:w="21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7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Observação</w:t>
            </w:r>
          </w:p>
        </w:tc>
        <w:tc>
          <w:tcPr>
            <w:tcW w:w="21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</w:tr>
    </w:tbl>
    <w:p>
      <w:pPr>
        <w:keepNext w:val="0"/>
        <w:keepLines w:val="0"/>
        <w:pageBreakBefore w:val="0"/>
        <w:widowControl w:val="0"/>
        <w:bidi w:val="0"/>
      </w:pP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4"/>
        </w:rPr>
        <w:t>2.5. </w:t>
      </w:r>
      <w:r>
        <w:rPr>
          <w:rFonts w:ascii="arial" w:eastAsia="arial" w:hAnsi="arial" w:cs="arial"/>
          <w:b/>
          <w:sz w:val="24"/>
        </w:rPr>
        <w:t>Cadastrar Número de Contrato/Convênio não Gerado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2.5.1 </w:t>
      </w:r>
      <w:r>
        <w:rPr>
          <w:rFonts w:ascii="arial" w:eastAsia="arial" w:hAnsi="arial" w:cs="arial"/>
          <w:sz w:val="20"/>
        </w:rPr>
        <w:t>As informações devem obedecer às regras:</w:t>
      </w:r>
      <w:r>
        <w:t xml:space="preserve"> </w:t>
      </w:r>
    </w:p>
    <w:tbl>
      <w:tblPr>
        <w:tblW w:w="0" w:type="auto"/>
        <w:tblInd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350"/>
        <w:gridCol w:w="603"/>
        <w:gridCol w:w="408"/>
        <w:gridCol w:w="603"/>
        <w:gridCol w:w="758"/>
        <w:gridCol w:w="603"/>
        <w:gridCol w:w="855"/>
        <w:gridCol w:w="2196"/>
      </w:tblGrid>
      <w:tr>
        <w:tblPrEx>
          <w:tblW w:w="0" w:type="auto"/>
          <w:tblInd w:w="32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4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Informação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Editável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Formato/ Tamanho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Máscara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Valores Possíveis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Regras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4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 Unidade de Lavratura do Contrato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Sim(*)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Idênticas ao fluxo de inclusão.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4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Gestora do Contrato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Alfanumérico/80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Idênticas ao fluxo de inclusão.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Solicitante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Unidade de Lotação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Alfanumérico/80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Idênticas ao fluxo de inclusão.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Nome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Alfanumérico/60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Idênticas ao fluxo de inclusão.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Telefone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Não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DDD Numérico/2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Telefone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Numérico/8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DDD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99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Telefone</w:t>
            </w:r>
            <w:r>
              <w:br/>
            </w:r>
            <w:r>
              <w:t xml:space="preserve"> </w:t>
            </w:r>
            <w:r>
              <w:rPr>
                <w:rFonts w:ascii="arial" w:eastAsia="arial" w:hAnsi="arial" w:cs="arial"/>
                <w:sz w:val="16"/>
              </w:rPr>
              <w:t>9999-9999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Idênticas ao fluxo de inclusão.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4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Número do Contrato/Convênio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Numérico/5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NNNNN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27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Inserir o número do contrato que não foi gerado pelo GECON.</w:t>
            </w:r>
          </w:p>
          <w:p>
            <w:pPr>
              <w:numPr>
                <w:ilvl w:val="0"/>
                <w:numId w:val="27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Caso não seja informado, apresentar mensagem </w:t>
            </w:r>
            <w:hyperlink r:id="rId6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MS2</w:t>
              </w:r>
            </w:hyperlink>
            <w: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4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Ano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Numérico/4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YYYY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  <w:p>
            <w:pPr>
              <w:numPr>
                <w:ilvl w:val="0"/>
                <w:numId w:val="28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>Inserir o ano do número do contrato.</w:t>
            </w:r>
          </w:p>
          <w:p>
            <w:pPr>
              <w:numPr>
                <w:ilvl w:val="0"/>
                <w:numId w:val="28"/>
              </w:numPr>
              <w:bidi w:val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Caso não seja informado, apresentar mensagem </w:t>
            </w:r>
            <w:hyperlink r:id="rId6" w:history="1">
              <w:r>
                <w:rPr>
                  <w:rFonts w:ascii="Arial Unicode MS" w:eastAsia="Arial Unicode MS" w:hAnsi="Arial Unicode MS" w:cs="Arial Unicode MS"/>
                  <w:b w:val="0"/>
                  <w:i w:val="0"/>
                  <w:strike w:val="0"/>
                  <w:color w:val="0000FF"/>
                  <w:sz w:val="20"/>
                  <w:u w:val="single"/>
                </w:rPr>
                <w:t>MS2</w:t>
              </w:r>
            </w:hyperlink>
            <w:r>
              <w:t>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4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Situação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Não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Idênticas ao fluxo de inclusão.</w:t>
            </w:r>
          </w:p>
        </w:tc>
      </w:tr>
      <w:tr>
        <w:tblPrEx>
          <w:tblW w:w="0" w:type="auto"/>
          <w:tblInd w:w="32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4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Observação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Sim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Não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Texto livre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16"/>
              </w:rPr>
              <w:t>-</w:t>
            </w:r>
          </w:p>
        </w:tc>
      </w:tr>
    </w:tbl>
    <w:p>
      <w:pPr>
        <w:bidi w:val="0"/>
      </w:pPr>
      <w:r>
        <w:t> 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2.5.2 </w:t>
      </w:r>
      <w:r>
        <w:rPr>
          <w:rFonts w:ascii="arial" w:eastAsia="arial" w:hAnsi="arial" w:cs="arial"/>
          <w:sz w:val="20"/>
        </w:rPr>
        <w:t>O número do contrato não pode estar cadastrado no banco de dados para o mesmo ano e Unidade Gestora do Contrato.</w:t>
      </w:r>
      <w:r>
        <w:br/>
      </w:r>
      <w:r>
        <w:t xml:space="preserve"> </w:t>
      </w:r>
      <w:r>
        <w:rPr>
          <w:rFonts w:ascii="arial" w:eastAsia="arial" w:hAnsi="arial" w:cs="arial"/>
          <w:b/>
          <w:sz w:val="20"/>
        </w:rPr>
        <w:t>2.5.3 </w:t>
      </w:r>
      <w:r>
        <w:rPr>
          <w:rFonts w:ascii="arial" w:eastAsia="arial" w:hAnsi="arial" w:cs="arial"/>
          <w:sz w:val="20"/>
        </w:rPr>
        <w:t>O número do contrato tem que ser menor que o ultimo número cadastrado no banco de dados, para o ano corrente.</w:t>
      </w:r>
      <w:r>
        <w:br/>
      </w:r>
      <w:r>
        <w:t xml:space="preserve"> </w:t>
      </w:r>
    </w:p>
    <w:sectPr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Mar w:top="1440" w:right="1440" w:bottom="1440" w:left="1440" w:header="708" w:footer="708"/>
      <w:pgBorders w:offsetFrom="page">
        <w:top w:val="none" w:sz="0" w:space="24" w:color="auto"/>
        <w:left w:val="none" w:sz="0" w:space="24" w:color="auto"/>
        <w:bottom w:val="none" w:sz="0" w:space="24" w:color="auto"/>
        <w:right w:val="none" w:sz="0" w:space="24" w:color="auto"/>
      </w:pgBorders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485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8" w:type="dxa"/>
        <w:right w:w="108" w:type="dxa"/>
      </w:tblCellMar>
    </w:tblPr>
    <w:tblGrid>
      <w:gridCol w:w="3192"/>
      <w:gridCol w:w="3192"/>
      <w:gridCol w:w="3192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Ex>
      <w:trPr>
        <w:cantSplit/>
        <w:trHeight w:val="0"/>
        <w:tblHeader w:val="0"/>
      </w:trPr>
      <w:tc>
        <w:tcPr>
          <w:tcW w:w="144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top"/>
        </w:tcPr>
        <w:p>
          <w:pPr>
            <w:rPr>
              <w:rFonts w:ascii="arial" w:eastAsia="arial" w:hAnsi="arial" w:cs="arial"/>
            </w:rPr>
          </w:pPr>
        </w:p>
      </w:tc>
      <w:tc>
        <w:tcPr>
          <w:tcW w:w="144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top"/>
        </w:tcPr>
        <w:p>
          <w:pPr>
            <w:bidi w:val="0"/>
            <w:jc w:val="center"/>
          </w:pPr>
          <w:r>
            <w:rPr>
              <w:rFonts w:ascii="arial" w:eastAsia="arial" w:hAnsi="arial" w:cs="arial"/>
              <w:color w:val="666666"/>
              <w:sz w:val="20"/>
            </w:rPr>
            <w:t xml:space="preserve">Página   </w:t>
          </w:r>
          <w:r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PAGE</w:instrText>
          </w:r>
          <w:r>
            <w:rPr>
              <w:rFonts w:ascii="arial" w:eastAsia="arial" w:hAnsi="arial" w:cs="arial"/>
            </w:rPr>
            <w:fldChar w:fldCharType="separate"/>
          </w:r>
          <w:r>
            <w:rPr>
              <w:rFonts w:ascii="arial" w:eastAsia="arial" w:hAnsi="arial" w:cs="arial"/>
              <w:color w:val="222222"/>
              <w:lang w:val="en-US" w:eastAsia="en-US" w:bidi="ar-SA"/>
            </w:rPr>
            <w:t>17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  <w:color w:val="666666"/>
              <w:sz w:val="20"/>
            </w:rPr>
            <w:t xml:space="preserve">  de </w:t>
          </w:r>
          <w:r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NUMPAGES</w:instrText>
          </w:r>
          <w:r>
            <w:rPr>
              <w:rFonts w:ascii="arial" w:eastAsia="arial" w:hAnsi="arial" w:cs="arial"/>
            </w:rPr>
            <w:fldChar w:fldCharType="separate"/>
          </w:r>
          <w:r>
            <w:rPr>
              <w:rFonts w:ascii="arial" w:eastAsia="arial" w:hAnsi="arial" w:cs="arial"/>
            </w:rPr>
            <w:t>17</w:t>
          </w:r>
          <w:r>
            <w:rPr>
              <w:rFonts w:ascii="arial" w:eastAsia="arial" w:hAnsi="arial" w:cs="arial"/>
            </w:rPr>
            <w:fldChar w:fldCharType="end"/>
          </w:r>
        </w:p>
      </w:tc>
      <w:tc>
        <w:tcPr>
          <w:tcW w:w="144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top"/>
        </w:tcPr>
        <w:p>
          <w:pPr>
            <w:bidi w:val="0"/>
            <w:jc w:val="right"/>
          </w:pPr>
        </w:p>
      </w:tc>
    </w:tr>
  </w:tbl>
  <w:p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485F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485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15"/>
      <w:gridCol w:w="8861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rPr>
        <w:cantSplit/>
        <w:trHeight w:val="0"/>
        <w:tblHeader w:val="0"/>
      </w:trPr>
      <w:tc>
        <w:tcPr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center"/>
        </w:tcPr>
        <w:p>
          <w:pPr>
            <w:rPr>
              <w:rFonts w:ascii="arial" w:eastAsia="arial" w:hAnsi="arial" w:cs="arial"/>
            </w:rPr>
          </w:pPr>
        </w:p>
      </w:tc>
      <w:tc>
        <w:tcPr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center"/>
        </w:tcPr>
        <w:p>
          <w:pPr>
            <w:bidi w:val="0"/>
            <w:jc w:val="right"/>
          </w:pPr>
          <w:r>
            <w:t xml:space="preserve"> 30 de setembro de 2026</w:t>
          </w:r>
        </w:p>
      </w:tc>
    </w:tr>
  </w:tbl>
  <w:p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485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DF508EF6"/>
    <w:lvl w:ilvl="0">
      <w:start w:val="1"/>
      <w:numFmt w:val="decimal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lvlText w:val="%1.%2"/>
      <w:legacy w:legacy="1" w:legacySpace="144" w:legacyIndent="0"/>
      <w:lvlJc w:val="left"/>
      <w:rPr>
        <w:rFonts w:cs="Times New Roman"/>
        <w:b/>
        <w:bCs w:val="0"/>
      </w:rPr>
    </w:lvl>
    <w:lvl w:ilvl="2">
      <w:start w:val="1"/>
      <w:numFmt w:val="decimal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>
    <w:nsid w:val="03C54443"/>
    <w:multiLevelType w:val="hybridMultilevel"/>
    <w:tmpl w:val="21343DD2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>
    <w:nsid w:val="11094A05"/>
    <w:multiLevelType w:val="multilevel"/>
    <w:tmpl w:val="EC6C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997454"/>
    <w:multiLevelType w:val="hybridMultilevel"/>
    <w:tmpl w:val="F4C26ED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CC11EE8"/>
    <w:multiLevelType w:val="hybridMultilevel"/>
    <w:tmpl w:val="C4E8967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0C03B43"/>
    <w:multiLevelType w:val="hybridMultilevel"/>
    <w:tmpl w:val="86EA1F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5E22A55"/>
    <w:multiLevelType w:val="hybridMultilevel"/>
    <w:tmpl w:val="9670C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E22A56"/>
    <w:multiLevelType w:val="multilevel"/>
    <w:tmpl w:val="75E22A56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5E22A57"/>
    <w:multiLevelType w:val="multilevel"/>
    <w:tmpl w:val="75E22A57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5E22A58"/>
    <w:multiLevelType w:val="multilevel"/>
    <w:tmpl w:val="75E22A58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5E22A59"/>
    <w:multiLevelType w:val="multilevel"/>
    <w:tmpl w:val="75E22A59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5E22A5A"/>
    <w:multiLevelType w:val="multilevel"/>
    <w:tmpl w:val="75E22A5A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5E22A5B"/>
    <w:multiLevelType w:val="multilevel"/>
    <w:tmpl w:val="75E22A5B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5E22A5C"/>
    <w:multiLevelType w:val="multilevel"/>
    <w:tmpl w:val="75E22A5C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5E22A5D"/>
    <w:multiLevelType w:val="multilevel"/>
    <w:tmpl w:val="75E22A5D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5E22A5E"/>
    <w:multiLevelType w:val="multilevel"/>
    <w:tmpl w:val="75E22A5E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5E22A5F"/>
    <w:multiLevelType w:val="multilevel"/>
    <w:tmpl w:val="75E22A5F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5E22A60"/>
    <w:multiLevelType w:val="multilevel"/>
    <w:tmpl w:val="75E22A60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5E22A61"/>
    <w:multiLevelType w:val="multilevel"/>
    <w:tmpl w:val="75E22A61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5E22A62"/>
    <w:multiLevelType w:val="multilevel"/>
    <w:tmpl w:val="75E22A62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5E22A63"/>
    <w:multiLevelType w:val="multilevel"/>
    <w:tmpl w:val="75E22A63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0"/>
  </w:num>
  <w:num w:numId="8">
    <w:abstractNumId w:val="0"/>
  </w:num>
  <w:num w:numId="9">
    <w:abstractNumId w:val="4"/>
  </w:num>
  <w:num w:numId="10">
    <w:abstractNumId w:val="0"/>
  </w:num>
  <w:num w:numId="11">
    <w:abstractNumId w:val="3"/>
  </w:num>
  <w:num w:numId="12">
    <w:abstractNumId w:val="0"/>
  </w:num>
  <w:num w:numId="13">
    <w:abstractNumId w:val="0"/>
  </w:num>
  <w:num w:numId="14">
    <w:abstractNumId w:val="6"/>
  </w:num>
  <w:num w:numId="15">
    <w:abstractNumId w:val="7"/>
  </w:num>
  <w:num w:numId="16">
    <w:abstractNumId w:val="8"/>
  </w:num>
  <w:num w:numId="17">
    <w:abstractNumId w:val="9"/>
  </w:num>
  <w:num w:numId="18">
    <w:abstractNumId w:val="10"/>
  </w:num>
  <w:num w:numId="19">
    <w:abstractNumId w:val="11"/>
  </w:num>
  <w:num w:numId="20">
    <w:abstractNumId w:val="12"/>
  </w:num>
  <w:num w:numId="21">
    <w:abstractNumId w:val="13"/>
  </w:num>
  <w:num w:numId="22">
    <w:abstractNumId w:val="14"/>
  </w:num>
  <w:num w:numId="23">
    <w:abstractNumId w:val="15"/>
  </w:num>
  <w:num w:numId="24">
    <w:abstractNumId w:val="16"/>
  </w:num>
  <w:num w:numId="25">
    <w:abstractNumId w:val="17"/>
  </w:num>
  <w:num w:numId="26">
    <w:abstractNumId w:val="18"/>
  </w:num>
  <w:num w:numId="27">
    <w:abstractNumId w:val="19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2F51"/>
    <w:rsid w:val="000A5A8B"/>
    <w:rsid w:val="002839D2"/>
    <w:rsid w:val="0076485F"/>
    <w:rsid w:val="00794139"/>
    <w:rsid w:val="008E28F1"/>
    <w:rsid w:val="00E545D1"/>
    <w:rsid w:val="00ED65DC"/>
    <w:rsid w:val="00FB6BA9"/>
    <w:rsid w:val="00FD30FE"/>
  </w:rsids>
  <m:mathPr>
    <m:mathFont m:val="Times New Roman"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pPr>
      <w:widowControl w:val="0"/>
      <w:spacing w:before="120" w:after="120" w:line="240" w:lineRule="atLeast"/>
    </w:pPr>
    <w:rPr>
      <w:rFonts w:ascii="Arial Unicode MS" w:eastAsia="Arial Unicode MS"/>
      <w:color w:val="2222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pPr>
      <w:keepNext/>
      <w:spacing w:after="240"/>
      <w:outlineLvl w:val="0"/>
    </w:pPr>
    <w:rPr>
      <w:b/>
      <w:color w:val="008A52"/>
      <w:sz w:val="28"/>
    </w:rPr>
  </w:style>
  <w:style w:type="paragraph" w:styleId="Heading2">
    <w:name w:val="heading 2"/>
    <w:basedOn w:val="Heading1"/>
    <w:next w:val="Normal"/>
    <w:link w:val="Ttulo2Char"/>
    <w:uiPriority w:val="9"/>
    <w:qFormat/>
    <w:rsid w:val="00FB6BA9"/>
    <w:pPr>
      <w:outlineLvl w:val="1"/>
    </w:pPr>
    <w:rPr>
      <w:color w:val="222222"/>
      <w:sz w:val="24"/>
      <w:szCs w:val="22"/>
    </w:rPr>
  </w:style>
  <w:style w:type="paragraph" w:styleId="Heading3">
    <w:name w:val="heading 3"/>
    <w:basedOn w:val="Heading1"/>
    <w:next w:val="Normal"/>
    <w:link w:val="Ttulo3Char"/>
    <w:uiPriority w:val="9"/>
    <w:qFormat/>
    <w:pPr>
      <w:spacing w:before="0" w:after="0"/>
      <w:outlineLvl w:val="2"/>
    </w:pPr>
    <w:rPr>
      <w:bCs/>
      <w:color w:val="222222"/>
      <w:sz w:val="20"/>
    </w:rPr>
  </w:style>
  <w:style w:type="paragraph" w:styleId="Heading4">
    <w:name w:val="heading 4"/>
    <w:basedOn w:val="Heading1"/>
    <w:next w:val="Normal"/>
    <w:link w:val="Ttulo4Char"/>
    <w:uiPriority w:val="9"/>
    <w:qFormat/>
    <w:pPr>
      <w:outlineLvl w:val="3"/>
    </w:pPr>
    <w:rPr>
      <w:bCs/>
      <w:color w:val="666666"/>
      <w:sz w:val="18"/>
    </w:rPr>
  </w:style>
  <w:style w:type="paragraph" w:styleId="Heading5">
    <w:name w:val="heading 5"/>
    <w:basedOn w:val="Normal"/>
    <w:next w:val="Normal"/>
    <w:link w:val="Ttulo5Char"/>
    <w:uiPriority w:val="9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Ttulo6Char"/>
    <w:uiPriority w:val="9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Ttulo7Char"/>
    <w:uiPriority w:val="9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Ttulo8Char"/>
    <w:uiPriority w:val="9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Ttulo9Char"/>
    <w:uiPriority w:val="9"/>
    <w:qFormat/>
    <w:rsid w:val="00FB6BA9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rPr>
      <w:rFonts w:ascii="Arial Unicode MS" w:eastAsia="Arial Unicode MS" w:hAnsi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tulo1Char">
    <w:name w:val="Título 1 Char"/>
    <w:link w:val="Heading1"/>
    <w:uiPriority w:val="9"/>
    <w:rPr>
      <w:rFonts w:ascii="Arial Unicode MS" w:eastAsia="Arial Unicode MS" w:hAnsi="Arial Unicode MS" w:cs="Arial Unicode MS"/>
      <w:b/>
      <w:bCs/>
      <w:color w:val="222222"/>
      <w:kern w:val="32"/>
      <w:sz w:val="32"/>
      <w:szCs w:val="32"/>
      <w:lang w:val="en-US" w:eastAsia="en-US"/>
    </w:rPr>
  </w:style>
  <w:style w:type="character" w:customStyle="1" w:styleId="Ttulo2Char">
    <w:name w:val="Título 2 Char"/>
    <w:link w:val="Heading2"/>
    <w:uiPriority w:val="9"/>
    <w:semiHidden/>
    <w:rPr>
      <w:rFonts w:ascii="Arial Unicode MS" w:eastAsia="Arial Unicode MS" w:hAnsi="Arial Unicode MS" w:cs="Arial Unicode MS"/>
      <w:b/>
      <w:bCs/>
      <w:i/>
      <w:iCs/>
      <w:color w:val="222222"/>
      <w:sz w:val="28"/>
      <w:szCs w:val="28"/>
      <w:lang w:val="en-US" w:eastAsia="en-US"/>
    </w:rPr>
  </w:style>
  <w:style w:type="character" w:customStyle="1" w:styleId="Ttulo3Char">
    <w:name w:val="Título 3 Char"/>
    <w:link w:val="Heading3"/>
    <w:uiPriority w:val="9"/>
    <w:semiHidden/>
    <w:rPr>
      <w:rFonts w:ascii="Arial Unicode MS" w:eastAsia="Arial Unicode MS" w:hAnsi="Arial Unicode MS" w:cs="Arial Unicode MS"/>
      <w:b/>
      <w:bCs/>
      <w:color w:val="222222"/>
      <w:sz w:val="26"/>
      <w:szCs w:val="26"/>
      <w:lang w:val="en-US" w:eastAsia="en-US"/>
    </w:rPr>
  </w:style>
  <w:style w:type="character" w:customStyle="1" w:styleId="Ttulo4Char">
    <w:name w:val="Título 4 Char"/>
    <w:link w:val="Heading4"/>
    <w:uiPriority w:val="9"/>
    <w:semiHidden/>
    <w:rPr>
      <w:rFonts w:ascii="Arial Unicode MS" w:eastAsia="Arial Unicode MS" w:hAnsi="Arial Unicode MS" w:cs="Arial Unicode MS"/>
      <w:b/>
      <w:bCs/>
      <w:color w:val="222222"/>
      <w:sz w:val="28"/>
      <w:szCs w:val="28"/>
      <w:lang w:val="en-US" w:eastAsia="en-US"/>
    </w:rPr>
  </w:style>
  <w:style w:type="character" w:customStyle="1" w:styleId="Ttulo5Char">
    <w:name w:val="Título 5 Char"/>
    <w:link w:val="Heading5"/>
    <w:uiPriority w:val="9"/>
    <w:semiHidden/>
    <w:rPr>
      <w:rFonts w:ascii="Arial Unicode MS" w:eastAsia="Arial Unicode MS" w:hAnsi="Arial Unicode MS" w:cs="Arial Unicode MS"/>
      <w:b/>
      <w:bCs/>
      <w:i/>
      <w:iCs/>
      <w:color w:val="222222"/>
      <w:sz w:val="26"/>
      <w:szCs w:val="26"/>
      <w:lang w:val="en-US" w:eastAsia="en-US"/>
    </w:rPr>
  </w:style>
  <w:style w:type="character" w:customStyle="1" w:styleId="Ttulo6Char">
    <w:name w:val="Título 6 Char"/>
    <w:link w:val="Heading6"/>
    <w:uiPriority w:val="9"/>
    <w:semiHidden/>
    <w:rPr>
      <w:rFonts w:ascii="Arial Unicode MS" w:eastAsia="Arial Unicode MS" w:hAnsi="Arial Unicode MS" w:cs="Arial Unicode MS"/>
      <w:b/>
      <w:bCs/>
      <w:color w:val="222222"/>
      <w:sz w:val="22"/>
      <w:szCs w:val="22"/>
      <w:lang w:val="en-US" w:eastAsia="en-US"/>
    </w:rPr>
  </w:style>
  <w:style w:type="character" w:customStyle="1" w:styleId="Ttulo7Char">
    <w:name w:val="Título 7 Char"/>
    <w:link w:val="Heading7"/>
    <w:uiPriority w:val="9"/>
    <w:semiHidden/>
    <w:rPr>
      <w:rFonts w:ascii="Arial Unicode MS" w:eastAsia="Arial Unicode MS" w:hAnsi="Arial Unicode MS" w:cs="Arial Unicode MS"/>
      <w:color w:val="222222"/>
      <w:sz w:val="24"/>
      <w:szCs w:val="24"/>
      <w:lang w:val="en-US" w:eastAsia="en-US"/>
    </w:rPr>
  </w:style>
  <w:style w:type="character" w:customStyle="1" w:styleId="Ttulo8Char">
    <w:name w:val="Título 8 Char"/>
    <w:link w:val="Heading8"/>
    <w:uiPriority w:val="9"/>
    <w:semiHidden/>
    <w:rPr>
      <w:rFonts w:ascii="Arial Unicode MS" w:eastAsia="Arial Unicode MS" w:hAnsi="Arial Unicode MS" w:cs="Arial Unicode MS"/>
      <w:i/>
      <w:iCs/>
      <w:color w:val="222222"/>
      <w:sz w:val="24"/>
      <w:szCs w:val="24"/>
      <w:lang w:val="en-US" w:eastAsia="en-US"/>
    </w:rPr>
  </w:style>
  <w:style w:type="character" w:customStyle="1" w:styleId="Ttulo9Char">
    <w:name w:val="Título 9 Char"/>
    <w:link w:val="Heading9"/>
    <w:uiPriority w:val="9"/>
    <w:semiHidden/>
    <w:rPr>
      <w:rFonts w:ascii="Arial Unicode MS" w:eastAsia="Arial Unicode MS" w:hAnsi="Arial Unicode MS" w:cs="Arial Unicode MS"/>
      <w:color w:val="222222"/>
      <w:sz w:val="22"/>
      <w:szCs w:val="22"/>
      <w:lang w:val="en-US" w:eastAsia="en-US"/>
    </w:rPr>
  </w:style>
  <w:style w:type="paragraph" w:styleId="Title">
    <w:name w:val="Title"/>
    <w:basedOn w:val="Normal"/>
    <w:next w:val="Normal"/>
    <w:link w:val="TtuloChar"/>
    <w:uiPriority w:val="10"/>
    <w:qFormat/>
    <w:pPr>
      <w:spacing w:line="240" w:lineRule="auto"/>
      <w:jc w:val="right"/>
    </w:pPr>
    <w:rPr>
      <w:b/>
      <w:color w:val="007670"/>
      <w:sz w:val="72"/>
    </w:rPr>
  </w:style>
  <w:style w:type="character" w:customStyle="1" w:styleId="TtuloChar">
    <w:name w:val="Título Char"/>
    <w:link w:val="Title"/>
    <w:uiPriority w:val="10"/>
    <w:rPr>
      <w:rFonts w:ascii="Arial Unicode MS" w:eastAsia="Arial Unicode MS" w:hAnsi="Arial Unicode MS" w:cs="Arial Unicode MS"/>
      <w:b/>
      <w:bCs/>
      <w:color w:val="222222"/>
      <w:kern w:val="28"/>
      <w:sz w:val="32"/>
      <w:szCs w:val="32"/>
      <w:lang w:val="en-US" w:eastAsia="en-US"/>
    </w:rPr>
  </w:style>
  <w:style w:type="paragraph" w:styleId="TOC1">
    <w:name w:val="toc 1"/>
    <w:basedOn w:val="Normal"/>
    <w:next w:val="Normal"/>
    <w:uiPriority w:val="39"/>
    <w:pPr>
      <w:tabs>
        <w:tab w:val="left" w:pos="851"/>
        <w:tab w:val="right" w:leader="dot" w:pos="9350"/>
      </w:tabs>
    </w:pPr>
    <w:rPr>
      <w:b/>
      <w:bCs/>
      <w:noProof/>
      <w:color w:val="666666"/>
      <w:sz w:val="28"/>
      <w:szCs w:val="24"/>
    </w:rPr>
  </w:style>
  <w:style w:type="paragraph" w:styleId="TOC2">
    <w:name w:val="toc 2"/>
    <w:basedOn w:val="Normal"/>
    <w:next w:val="Normal"/>
    <w:uiPriority w:val="39"/>
    <w:pPr>
      <w:tabs>
        <w:tab w:val="left" w:pos="850"/>
        <w:tab w:val="right" w:leader="dot" w:pos="9350"/>
      </w:tabs>
    </w:pPr>
    <w:rPr>
      <w:noProof/>
      <w:sz w:val="22"/>
      <w:szCs w:val="24"/>
    </w:rPr>
  </w:style>
  <w:style w:type="paragraph" w:styleId="TOC3">
    <w:name w:val="toc 3"/>
    <w:basedOn w:val="Normal"/>
    <w:next w:val="Normal"/>
    <w:uiPriority w:val="39"/>
    <w:pPr>
      <w:tabs>
        <w:tab w:val="left" w:pos="1541"/>
        <w:tab w:val="right" w:leader="dot" w:pos="9350"/>
      </w:tabs>
      <w:ind w:left="144"/>
    </w:pPr>
    <w:rPr>
      <w:iCs/>
      <w:noProof/>
      <w:szCs w:val="24"/>
    </w:rPr>
  </w:style>
  <w:style w:type="paragraph" w:styleId="Header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Header"/>
    <w:uiPriority w:val="99"/>
    <w:semiHidden/>
    <w:rPr>
      <w:rFonts w:ascii="Arial Unicode MS" w:eastAsia="Arial Unicode MS"/>
      <w:color w:val="222222"/>
      <w:lang w:val="en-US" w:eastAsia="en-US"/>
    </w:rPr>
  </w:style>
  <w:style w:type="paragraph" w:styleId="Footer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Footer"/>
    <w:uiPriority w:val="99"/>
    <w:semiHidden/>
    <w:rPr>
      <w:rFonts w:ascii="Arial Unicode MS" w:eastAsia="Arial Unicode MS"/>
      <w:color w:val="222222"/>
      <w:lang w:val="en-US" w:eastAsia="en-US"/>
    </w:rPr>
  </w:style>
  <w:style w:type="character" w:styleId="PageNumber">
    <w:name w:val="page number"/>
    <w:uiPriority w:val="99"/>
    <w:rPr>
      <w:rFonts w:ascii="Arial Unicode MS" w:eastAsia="Arial Unicode MS" w:hAnsi="Arial Unicode MS" w:cs="Arial Unicode MS"/>
    </w:rPr>
  </w:style>
  <w:style w:type="paragraph" w:customStyle="1" w:styleId="Tabletext">
    <w:name w:val="Tabletext"/>
    <w:basedOn w:val="Normal"/>
    <w:pPr>
      <w:keepLines/>
    </w:pPr>
    <w:rPr>
      <w:sz w:val="18"/>
    </w:rPr>
  </w:style>
  <w:style w:type="paragraph" w:styleId="BodyText">
    <w:name w:val="Body Text"/>
    <w:basedOn w:val="Normal"/>
    <w:link w:val="CorpodetextoChar"/>
    <w:uiPriority w:val="99"/>
    <w:pPr>
      <w:keepLines/>
      <w:ind w:left="720"/>
    </w:pPr>
    <w:rPr>
      <w:rFonts w:hAnsi="Arial Unicode MS"/>
      <w:lang w:eastAsia="pt-BR"/>
    </w:rPr>
  </w:style>
  <w:style w:type="character" w:customStyle="1" w:styleId="Body2Char">
    <w:name w:val="Body2 Char"/>
    <w:link w:val="Body2"/>
    <w:locked/>
    <w:rPr>
      <w:rFonts w:ascii="Arial Unicode MS" w:eastAsia="Arial Unicode MS" w:hAnsi="Arial Unicode MS" w:cs="Arial Unicode MS"/>
      <w:color w:val="222222"/>
    </w:rPr>
  </w:style>
  <w:style w:type="paragraph" w:customStyle="1" w:styleId="InfoBlue">
    <w:name w:val="InfoBlue"/>
    <w:basedOn w:val="Normal"/>
    <w:next w:val="BodyText"/>
    <w:autoRedefine/>
    <w:pPr>
      <w:ind w:left="720"/>
    </w:pPr>
    <w:rPr>
      <w:i/>
      <w:color w:val="0000FF"/>
    </w:rPr>
  </w:style>
  <w:style w:type="character" w:styleId="Hyperlink">
    <w:name w:val="Hyperlink"/>
    <w:uiPriority w:val="99"/>
    <w:rPr>
      <w:rFonts w:ascii="Arial Unicode MS" w:eastAsia="Arial Unicode MS" w:hAnsi="Arial Unicode MS"/>
      <w:color w:val="3087B3"/>
      <w:sz w:val="18"/>
      <w:u w:val="none"/>
    </w:rPr>
  </w:style>
  <w:style w:type="character" w:styleId="Strong">
    <w:name w:val="Strong"/>
    <w:uiPriority w:val="22"/>
    <w:qFormat/>
    <w:rPr>
      <w:rFonts w:ascii="Arial Unicode MS" w:eastAsia="Arial Unicode MS" w:hAnsi="Arial Unicode MS"/>
      <w:b/>
    </w:rPr>
  </w:style>
  <w:style w:type="paragraph" w:styleId="BodyTextIndent2">
    <w:name w:val="Body Text Indent 2"/>
    <w:basedOn w:val="Normal"/>
    <w:link w:val="Recuodecorpodetexto2Char"/>
    <w:uiPriority w:val="99"/>
    <w:pPr>
      <w:ind w:left="720"/>
    </w:pPr>
  </w:style>
  <w:style w:type="character" w:customStyle="1" w:styleId="Recuodecorpodetexto2Char">
    <w:name w:val="Recuo de corpo de texto 2 Char"/>
    <w:link w:val="BodyTextIndent2"/>
    <w:uiPriority w:val="99"/>
    <w:semiHidden/>
    <w:rPr>
      <w:rFonts w:ascii="Arial Unicode MS" w:eastAsia="Arial Unicode MS"/>
      <w:color w:val="222222"/>
      <w:lang w:val="en-US" w:eastAsia="en-US"/>
    </w:rPr>
  </w:style>
  <w:style w:type="paragraph" w:customStyle="1" w:styleId="Figure">
    <w:name w:val="Figure"/>
    <w:basedOn w:val="TableofFigures"/>
    <w:link w:val="FigureChar"/>
    <w:qFormat/>
    <w:pPr>
      <w:ind w:left="567" w:hanging="567"/>
    </w:pPr>
    <w:rPr>
      <w:bCs/>
      <w:iCs/>
      <w:sz w:val="18"/>
    </w:rPr>
  </w:style>
  <w:style w:type="paragraph" w:styleId="TableofFigures">
    <w:name w:val="table of figures"/>
    <w:basedOn w:val="Normal"/>
    <w:next w:val="Normal"/>
    <w:link w:val="ndicedeilustraesChar"/>
    <w:uiPriority w:val="99"/>
    <w:pPr>
      <w:ind w:left="400" w:hanging="400"/>
    </w:pPr>
    <w:rPr>
      <w:rFonts w:hAnsi="Arial Unicode MS"/>
      <w:color w:val="008A52"/>
      <w:sz w:val="36"/>
      <w:szCs w:val="24"/>
      <w:lang w:eastAsia="pt-BR"/>
    </w:rPr>
  </w:style>
  <w:style w:type="paragraph" w:styleId="TOC4">
    <w:name w:val="toc 4"/>
    <w:basedOn w:val="Normal"/>
    <w:next w:val="Normal"/>
    <w:autoRedefine/>
    <w:uiPriority w:val="39"/>
    <w:pPr>
      <w:ind w:left="576"/>
    </w:pPr>
    <w:rPr>
      <w:sz w:val="18"/>
      <w:szCs w:val="21"/>
    </w:rPr>
  </w:style>
  <w:style w:type="character" w:customStyle="1" w:styleId="ndicedeilustraesChar">
    <w:name w:val="Índice de ilustrações Char"/>
    <w:link w:val="TableofFigures"/>
    <w:uiPriority w:val="99"/>
    <w:locked/>
    <w:rPr>
      <w:rFonts w:ascii="Arial Unicode MS" w:eastAsia="Arial Unicode MS" w:hAnsi="Arial Unicode MS"/>
      <w:color w:val="008A52"/>
      <w:sz w:val="24"/>
    </w:rPr>
  </w:style>
  <w:style w:type="character" w:customStyle="1" w:styleId="FigureChar">
    <w:name w:val="Figure Char"/>
    <w:link w:val="Figure"/>
    <w:locked/>
    <w:rPr>
      <w:rFonts w:ascii="Arial Unicode MS" w:eastAsia="Arial Unicode MS" w:hAnsi="Arial Unicode MS"/>
      <w:color w:val="008A52"/>
      <w:sz w:val="24"/>
    </w:rPr>
  </w:style>
  <w:style w:type="paragraph" w:styleId="TOC5">
    <w:name w:val="toc 5"/>
    <w:basedOn w:val="Normal"/>
    <w:next w:val="Normal"/>
    <w:autoRedefine/>
    <w:uiPriority w:val="39"/>
    <w:pPr>
      <w:ind w:left="800"/>
    </w:pPr>
    <w:rPr>
      <w:rFonts w:hAnsi="Arial Unicode MS" w:cs="Arial Unicode MS"/>
      <w:sz w:val="18"/>
      <w:szCs w:val="21"/>
    </w:rPr>
  </w:style>
  <w:style w:type="paragraph" w:styleId="TOC6">
    <w:name w:val="toc 6"/>
    <w:basedOn w:val="Normal"/>
    <w:next w:val="Normal"/>
    <w:autoRedefine/>
    <w:uiPriority w:val="39"/>
    <w:pPr>
      <w:ind w:left="1000"/>
    </w:pPr>
    <w:rPr>
      <w:rFonts w:hAnsi="Arial Unicode MS" w:cs="Arial Unicode MS"/>
      <w:sz w:val="18"/>
      <w:szCs w:val="21"/>
    </w:rPr>
  </w:style>
  <w:style w:type="paragraph" w:styleId="TOC7">
    <w:name w:val="toc 7"/>
    <w:basedOn w:val="Normal"/>
    <w:next w:val="Normal"/>
    <w:autoRedefine/>
    <w:uiPriority w:val="39"/>
    <w:pPr>
      <w:ind w:left="1200"/>
    </w:pPr>
    <w:rPr>
      <w:rFonts w:hAnsi="Arial Unicode MS" w:cs="Arial Unicode MS"/>
      <w:sz w:val="18"/>
      <w:szCs w:val="21"/>
    </w:rPr>
  </w:style>
  <w:style w:type="paragraph" w:styleId="TOC8">
    <w:name w:val="toc 8"/>
    <w:basedOn w:val="Normal"/>
    <w:next w:val="Normal"/>
    <w:autoRedefine/>
    <w:uiPriority w:val="39"/>
    <w:pPr>
      <w:ind w:left="1400"/>
    </w:pPr>
    <w:rPr>
      <w:rFonts w:hAnsi="Arial Unicode MS" w:cs="Arial Unicode MS"/>
      <w:sz w:val="18"/>
      <w:szCs w:val="21"/>
    </w:rPr>
  </w:style>
  <w:style w:type="paragraph" w:styleId="TOC9">
    <w:name w:val="toc 9"/>
    <w:basedOn w:val="Normal"/>
    <w:next w:val="Normal"/>
    <w:autoRedefine/>
    <w:uiPriority w:val="39"/>
    <w:pPr>
      <w:ind w:left="1600"/>
    </w:pPr>
    <w:rPr>
      <w:rFonts w:hAnsi="Arial Unicode MS" w:cs="Arial Unicode MS"/>
      <w:sz w:val="18"/>
      <w:szCs w:val="21"/>
    </w:rPr>
  </w:style>
  <w:style w:type="character" w:styleId="CommentReference">
    <w:name w:val="annotation reference"/>
    <w:uiPriority w:val="99"/>
    <w:rPr>
      <w:rFonts w:ascii="Arial Unicode MS" w:eastAsia="Arial Unicode MS" w:hAnsi="Arial Unicode MS"/>
      <w:sz w:val="16"/>
    </w:rPr>
  </w:style>
  <w:style w:type="paragraph" w:styleId="CommentText">
    <w:name w:val="annotation text"/>
    <w:basedOn w:val="Normal"/>
    <w:link w:val="TextodecomentrioChar"/>
    <w:uiPriority w:val="99"/>
    <w:rPr>
      <w:rFonts w:hAnsi="Arial Unicode MS"/>
      <w:lang w:eastAsia="pt-BR"/>
    </w:rPr>
  </w:style>
  <w:style w:type="paragraph" w:styleId="CommentSubject">
    <w:name w:val="annotation subject"/>
    <w:basedOn w:val="CommentText"/>
    <w:next w:val="CommentText"/>
    <w:link w:val="AssuntodocomentrioChar"/>
    <w:uiPriority w:val="99"/>
    <w:rPr>
      <w:b/>
      <w:bCs/>
    </w:rPr>
  </w:style>
  <w:style w:type="character" w:customStyle="1" w:styleId="TextodecomentrioChar">
    <w:name w:val="Texto de comentário Char"/>
    <w:link w:val="CommentText"/>
    <w:locked/>
    <w:rPr>
      <w:rFonts w:ascii="Arial Unicode MS" w:eastAsia="Arial Unicode MS" w:hAnsi="Arial Unicode MS"/>
      <w:color w:val="222222"/>
    </w:rPr>
  </w:style>
  <w:style w:type="paragraph" w:styleId="BalloonText">
    <w:name w:val="Balloon Text"/>
    <w:basedOn w:val="Normal"/>
    <w:link w:val="TextodebaloChar"/>
    <w:uiPriority w:val="99"/>
    <w:pPr>
      <w:spacing w:line="240" w:lineRule="auto"/>
    </w:pPr>
    <w:rPr>
      <w:rFonts w:hAnsi="Arial Unicode MS"/>
      <w:sz w:val="16"/>
      <w:szCs w:val="16"/>
      <w:lang w:eastAsia="pt-BR"/>
    </w:rPr>
  </w:style>
  <w:style w:type="character" w:customStyle="1" w:styleId="AssuntodocomentrioChar">
    <w:name w:val="Assunto do comentário Char"/>
    <w:link w:val="CommentSubject"/>
    <w:locked/>
    <w:rPr>
      <w:rFonts w:ascii="Arial Unicode MS" w:eastAsia="Arial Unicode MS" w:hAnsi="Arial Unicode MS"/>
      <w:b/>
      <w:color w:val="222222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 w:line="240" w:lineRule="auto"/>
    </w:pPr>
    <w:rPr>
      <w:sz w:val="24"/>
      <w:szCs w:val="24"/>
      <w:lang w:val="en-GB" w:eastAsia="en-GB"/>
    </w:rPr>
  </w:style>
  <w:style w:type="character" w:customStyle="1" w:styleId="TextodebaloChar">
    <w:name w:val="Texto de balão Char"/>
    <w:link w:val="BalloonText"/>
    <w:locked/>
    <w:rPr>
      <w:rFonts w:ascii="Arial Unicode MS" w:eastAsia="Arial Unicode MS" w:hAnsi="Arial Unicode MS"/>
      <w:color w:val="222222"/>
      <w:sz w:val="16"/>
    </w:rPr>
  </w:style>
  <w:style w:type="paragraph" w:styleId="Revision">
    <w:name w:val="Revision"/>
    <w:hidden/>
    <w:uiPriority w:val="99"/>
    <w:semiHidden/>
    <w:rPr>
      <w:rFonts w:ascii="Arial Unicode MS" w:eastAsia="Arial Unicode MS" w:hAnsi="Arial Unicode MS" w:cs="Arial Unicode MS"/>
      <w:lang w:val="en-US" w:eastAsia="en-US" w:bidi="ar-SA"/>
    </w:rPr>
  </w:style>
  <w:style w:type="paragraph" w:customStyle="1" w:styleId="Body2">
    <w:name w:val="Body2"/>
    <w:basedOn w:val="BodyText"/>
    <w:link w:val="Body2Char"/>
    <w:qFormat/>
    <w:pPr>
      <w:ind w:left="1560"/>
    </w:pPr>
  </w:style>
  <w:style w:type="character" w:customStyle="1" w:styleId="textclass4">
    <w:name w:val="text_class4"/>
    <w:rPr>
      <w:rFonts w:ascii="Arial Unicode MS" w:eastAsia="Arial Unicode MS" w:hAnsi="Arial Unicode MS" w:cs="Arial Unicode MS"/>
    </w:rPr>
  </w:style>
  <w:style w:type="character" w:customStyle="1" w:styleId="CorpodetextoChar">
    <w:name w:val="Corpo de texto Char"/>
    <w:link w:val="BodyText"/>
    <w:locked/>
    <w:rPr>
      <w:rFonts w:ascii="Arial Unicode MS" w:eastAsia="Arial Unicode MS" w:hAnsi="Arial Unicode MS"/>
      <w:color w:val="222222"/>
    </w:rPr>
  </w:style>
  <w:style w:type="table" w:styleId="TableGrid">
    <w:name w:val="Table Grid"/>
    <w:basedOn w:val="TableNormal"/>
    <w:uiPriority w:val="59"/>
    <w:rPr>
      <w:rFonts w:ascii="Arial Unicode MS" w:eastAsia="Arial Unicode MS" w:hAnsi="Arial Unicode MS" w:cs="Arial Unicode MS"/>
      <w:lang w:val="en-US"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rompt">
    <w:name w:val="prompt"/>
    <w:basedOn w:val="BodyText"/>
    <w:pPr>
      <w:ind w:left="1406" w:hanging="1406"/>
    </w:pPr>
    <w:rPr>
      <w:b/>
      <w:bCs/>
      <w:i/>
      <w:iCs/>
    </w:rPr>
  </w:style>
  <w:style w:type="paragraph" w:customStyle="1" w:styleId="detail">
    <w:name w:val="detail"/>
    <w:basedOn w:val="BodyText"/>
    <w:pPr>
      <w:ind w:left="1406" w:hanging="1406"/>
    </w:pPr>
    <w:rPr>
      <w:bCs/>
      <w:iCs/>
    </w:rPr>
  </w:style>
  <w:style w:type="paragraph" w:customStyle="1" w:styleId="colheading">
    <w:name w:val="colheading"/>
    <w:basedOn w:val="BodyText"/>
    <w:pPr>
      <w:spacing w:before="60" w:after="60"/>
      <w:ind w:left="0"/>
    </w:pPr>
    <w:rPr>
      <w:b/>
      <w:bCs/>
      <w:color w:val="666666"/>
      <w:sz w:val="18"/>
    </w:rPr>
  </w:style>
  <w:style w:type="paragraph" w:customStyle="1" w:styleId="colbody">
    <w:name w:val="colbody"/>
    <w:basedOn w:val="BodyText"/>
    <w:pPr>
      <w:spacing w:before="60" w:after="60"/>
      <w:ind w:left="0"/>
    </w:pPr>
    <w:rPr>
      <w:sz w:val="18"/>
    </w:rPr>
  </w:style>
  <w:style w:type="character" w:styleId="FollowedHyperlink">
    <w:name w:val="FollowedHyperlink"/>
    <w:uiPriority w:val="99"/>
    <w:rPr>
      <w:rFonts w:ascii="Arial Unicode MS" w:eastAsia="Arial Unicode MS" w:hAnsi="Arial Unicode MS"/>
      <w:color w:val="3087B3"/>
      <w:sz w:val="18"/>
      <w:u w:val="none"/>
    </w:rPr>
  </w:style>
  <w:style w:type="paragraph" w:customStyle="1" w:styleId="TitleExtras">
    <w:name w:val="Title Extras"/>
    <w:basedOn w:val="Title"/>
    <w:qFormat/>
    <w:rPr>
      <w:b w:val="0"/>
      <w:color w:val="222222"/>
      <w:sz w:val="32"/>
    </w:rPr>
  </w:style>
  <w:style w:type="paragraph" w:styleId="TOCHeading">
    <w:name w:val="TOC Heading"/>
    <w:basedOn w:val="Heading1"/>
    <w:next w:val="Normal"/>
    <w:uiPriority w:val="39"/>
    <w:qFormat/>
    <w:pPr>
      <w:spacing w:before="240" w:after="60" w:line="240" w:lineRule="auto"/>
      <w:outlineLvl w:val="9"/>
    </w:pPr>
    <w:rPr>
      <w:b w:val="0"/>
      <w:bCs/>
      <w:kern w:val="32"/>
      <w:sz w:val="36"/>
      <w:szCs w:val="32"/>
    </w:rPr>
  </w:style>
  <w:style w:type="paragraph" w:customStyle="1" w:styleId="BodyTextBold">
    <w:name w:val="Body Text Bold"/>
    <w:basedOn w:val="BodyText"/>
    <w:rPr>
      <w:b/>
      <w:bCs/>
    </w:rPr>
  </w:style>
  <w:style w:type="paragraph" w:customStyle="1" w:styleId="BodyTextUnderlined">
    <w:name w:val="Body Text Underlined"/>
    <w:basedOn w:val="BodyText"/>
    <w:rPr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targetScreenSz w:val="1024x768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header" Target="header3.xml" /><Relationship Id="rId15" Type="http://schemas.openxmlformats.org/officeDocument/2006/relationships/footer" Target="footer3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alm.serpro/rm/resources/_q_m1MdXmEeO1joPNNloZfQ" TargetMode="External" /><Relationship Id="rId6" Type="http://schemas.openxmlformats.org/officeDocument/2006/relationships/hyperlink" Target="https://alm.serpro/rm/resources/_LIiykdbOEeOnQszXG_IkRw" TargetMode="External" /><Relationship Id="rId7" Type="http://schemas.openxmlformats.org/officeDocument/2006/relationships/hyperlink" Target="https://alm.serpro/rm/resources/_iLkpUdbOEeOnQszXG_IkRw" TargetMode="External" /><Relationship Id="rId8" Type="http://schemas.openxmlformats.org/officeDocument/2006/relationships/hyperlink" Target="https://alm.serpro/rm/resources/_k_FSwdbOEeOnQszXG_IkRw" TargetMode="External" /><Relationship Id="rId9" Type="http://schemas.openxmlformats.org/officeDocument/2006/relationships/hyperlink" Target="https://alm.serpro/rm/resources/_7j8m0dbOEeOnQszXG_IkR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6BBE9-02CD-4167-BBFE-BC7DDBA2A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Audit History</vt:lpstr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cp:lastPrinted>2009-06-17T17:33:00Z</cp:lastPrinted>
  <dcterms:created xsi:type="dcterms:W3CDTF">2015-07-08T20:05:00Z</dcterms:created>
  <dcterms:modified xsi:type="dcterms:W3CDTF">2015-07-08T20:05:00Z</dcterms:modified>
</cp:coreProperties>
</file>