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color w:val="111111"/>
          <w:sz w:val="50"/>
        </w:rPr>
        <w:t>Atığını Tanı</w:t>
      </w:r>
    </w:p>
    <w:p>
      <w:pPr>
        <w:spacing w:after="180"/>
      </w:pPr>
      <w:r>
        <w:rPr>
          <w:rFonts w:ascii="Arial" w:hAnsi="Arial"/>
          <w:color w:val="66736F"/>
          <w:sz w:val="21"/>
        </w:rPr>
        <w:t>Gerçek ortam atık görüntülerini dokuz malzeme sınıfında ayıran karar destek modeli</w:t>
      </w:r>
    </w:p>
    <w:tbl>
      <w:tblPr>
        <w:tblW w:type="auto" w:w="0"/>
        <w:jc w:val="center"/>
        <w:tblLook w:firstColumn="1" w:firstRow="1" w:lastColumn="0" w:lastRow="0" w:noHBand="0" w:noVBand="1" w:val="04A0"/>
      </w:tblPr>
      <w:tblGrid>
        <w:gridCol w:w="2649"/>
        <w:gridCol w:w="2649"/>
        <w:gridCol w:w="2649"/>
        <w:gridCol w:w="2649"/>
      </w:tblGrid>
      <w:tr>
        <w:tc>
          <w:tcPr>
            <w:tcW w:type="dxa" w:w="2502"/>
            <w:shd w:fill="EAF0EA"/>
            <w:tcBorders>
              <w:top w:val="single" w:sz="8" w:color="A7C4A0"/>
              <w:left w:val="single" w:sz="8" w:color="A7C4A0"/>
              <w:bottom w:val="single" w:sz="8" w:color="A7C4A0"/>
              <w:right w:val="single" w:sz="8" w:color="A7C4A0"/>
            </w:tcBorders>
            <w:tcMar>
              <w:top w:w="120" w:type="dxa"/>
              <w:start w:w="90" w:type="dxa"/>
              <w:bottom w:w="120" w:type="dxa"/>
              <w:end w:w="90" w:type="dxa"/>
            </w:tcMar>
          </w:tcPr>
          <w:p>
            <w:pPr>
              <w:spacing w:after="20"/>
              <w:jc w:val="center"/>
            </w:pPr>
            <w:r>
              <w:rPr>
                <w:rFonts w:ascii="Arial" w:hAnsi="Arial"/>
                <w:b/>
                <w:color w:val="2D6A63"/>
                <w:sz w:val="36"/>
              </w:rPr>
              <w:t>4.752</w:t>
            </w:r>
            <w:r>
              <w:br/>
            </w:r>
            <w:r>
              <w:rPr>
                <w:rFonts w:ascii="Arial" w:hAnsi="Arial"/>
                <w:color w:val="66736F"/>
                <w:sz w:val="16"/>
              </w:rPr>
              <w:t>gerçek ortam görüntüsü</w:t>
            </w:r>
          </w:p>
        </w:tc>
        <w:tc>
          <w:tcPr>
            <w:tcW w:type="dxa" w:w="2502"/>
            <w:shd w:fill="EAF0EA"/>
            <w:tcBorders>
              <w:top w:val="single" w:sz="8" w:color="A7C4A0"/>
              <w:left w:val="single" w:sz="8" w:color="A7C4A0"/>
              <w:bottom w:val="single" w:sz="8" w:color="A7C4A0"/>
              <w:right w:val="single" w:sz="8" w:color="A7C4A0"/>
            </w:tcBorders>
            <w:tcMar>
              <w:top w:w="120" w:type="dxa"/>
              <w:start w:w="90" w:type="dxa"/>
              <w:bottom w:w="120" w:type="dxa"/>
              <w:end w:w="90" w:type="dxa"/>
            </w:tcMar>
          </w:tcPr>
          <w:p>
            <w:pPr>
              <w:spacing w:after="20"/>
              <w:jc w:val="center"/>
            </w:pPr>
            <w:r>
              <w:rPr>
                <w:rFonts w:ascii="Arial" w:hAnsi="Arial"/>
                <w:b/>
                <w:color w:val="2D6A63"/>
                <w:sz w:val="36"/>
              </w:rPr>
              <w:t>9</w:t>
            </w:r>
            <w:r>
              <w:br/>
            </w:r>
            <w:r>
              <w:rPr>
                <w:rFonts w:ascii="Arial" w:hAnsi="Arial"/>
                <w:color w:val="66736F"/>
                <w:sz w:val="16"/>
              </w:rPr>
              <w:t>malzeme sınıfı</w:t>
            </w:r>
          </w:p>
        </w:tc>
        <w:tc>
          <w:tcPr>
            <w:tcW w:type="dxa" w:w="2502"/>
            <w:shd w:fill="EAF0EA"/>
            <w:tcBorders>
              <w:top w:val="single" w:sz="8" w:color="A7C4A0"/>
              <w:left w:val="single" w:sz="8" w:color="A7C4A0"/>
              <w:bottom w:val="single" w:sz="8" w:color="A7C4A0"/>
              <w:right w:val="single" w:sz="8" w:color="A7C4A0"/>
            </w:tcBorders>
            <w:tcMar>
              <w:top w:w="120" w:type="dxa"/>
              <w:start w:w="90" w:type="dxa"/>
              <w:bottom w:w="120" w:type="dxa"/>
              <w:end w:w="90" w:type="dxa"/>
            </w:tcMar>
          </w:tcPr>
          <w:p>
            <w:pPr>
              <w:spacing w:after="20"/>
              <w:jc w:val="center"/>
            </w:pPr>
            <w:r>
              <w:rPr>
                <w:rFonts w:ascii="Arial" w:hAnsi="Arial"/>
                <w:b/>
                <w:color w:val="2D6A63"/>
                <w:sz w:val="36"/>
              </w:rPr>
              <w:t>%85,5</w:t>
            </w:r>
            <w:r>
              <w:br/>
            </w:r>
            <w:r>
              <w:rPr>
                <w:rFonts w:ascii="Arial" w:hAnsi="Arial"/>
                <w:color w:val="66736F"/>
                <w:sz w:val="16"/>
              </w:rPr>
              <w:t>makro F1</w:t>
            </w:r>
          </w:p>
        </w:tc>
        <w:tc>
          <w:tcPr>
            <w:tcW w:type="dxa" w:w="2502"/>
            <w:shd w:fill="EAF0EA"/>
            <w:tcBorders>
              <w:top w:val="single" w:sz="8" w:color="A7C4A0"/>
              <w:left w:val="single" w:sz="8" w:color="A7C4A0"/>
              <w:bottom w:val="single" w:sz="8" w:color="A7C4A0"/>
              <w:right w:val="single" w:sz="8" w:color="A7C4A0"/>
            </w:tcBorders>
            <w:tcMar>
              <w:top w:w="120" w:type="dxa"/>
              <w:start w:w="90" w:type="dxa"/>
              <w:bottom w:w="120" w:type="dxa"/>
              <w:end w:w="90" w:type="dxa"/>
            </w:tcMar>
          </w:tcPr>
          <w:p>
            <w:pPr>
              <w:spacing w:after="20"/>
              <w:jc w:val="center"/>
            </w:pPr>
            <w:r>
              <w:rPr>
                <w:rFonts w:ascii="Arial" w:hAnsi="Arial"/>
                <w:b/>
                <w:color w:val="2D6A63"/>
                <w:sz w:val="36"/>
              </w:rPr>
              <w:t>%84,9</w:t>
            </w:r>
            <w:r>
              <w:br/>
            </w:r>
            <w:r>
              <w:rPr>
                <w:rFonts w:ascii="Arial" w:hAnsi="Arial"/>
                <w:color w:val="66736F"/>
                <w:sz w:val="16"/>
              </w:rPr>
              <w:t>test doğruluğu</w:t>
            </w:r>
          </w:p>
        </w:tc>
      </w:tr>
    </w:tbl>
    <w:p>
      <w:pPr>
        <w:spacing w:before="140" w:after="80"/>
      </w:pPr>
      <w:r>
        <w:rPr>
          <w:rFonts w:ascii="Arial" w:hAnsi="Arial"/>
          <w:b/>
          <w:color w:val="111111"/>
          <w:sz w:val="30"/>
        </w:rPr>
        <w:t>1. Problem ve gerçek dünya ihtiyacı</w:t>
      </w:r>
    </w:p>
    <w:p>
      <w:pPr>
        <w:spacing w:after="100" w:line="259" w:lineRule="auto"/>
      </w:pPr>
      <w:r>
        <w:rPr>
          <w:rFonts w:ascii="Arial" w:hAnsi="Arial"/>
          <w:color w:val="111111"/>
          <w:sz w:val="19"/>
        </w:rPr>
        <w:t>Bu proje, tek bir RGB atık görüntüsünü dokuz malzeme sınıfından birine atayan bir görüntü sınıflandırma modeli geliştirir. Girdi bir görüntüdür; hedef çıktı Cardboard, Food Organics, Glass, Metal, Miscellaneous Trash, Paper, Plastic, Textile Trash veya Vegetation etiketidir. Model, gerçek ayrıştırma hatlarında malzeme kararını destekleyebilir; insan denetiminin ve yerel ayrıştırma kurallarının yerine geçmez.</w:t>
      </w:r>
    </w:p>
    <w:p>
      <w:pPr>
        <w:spacing w:before="140" w:after="80"/>
      </w:pPr>
      <w:r>
        <w:rPr>
          <w:rFonts w:ascii="Arial" w:hAnsi="Arial"/>
          <w:b/>
          <w:color w:val="111111"/>
          <w:sz w:val="30"/>
        </w:rPr>
        <w:t>2. Veri seti</w:t>
      </w:r>
    </w:p>
    <w:p>
      <w:pPr>
        <w:spacing w:after="100" w:line="259" w:lineRule="auto"/>
      </w:pPr>
      <w:r>
        <w:rPr>
          <w:rFonts w:ascii="Arial" w:hAnsi="Arial"/>
          <w:color w:val="111111"/>
          <w:sz w:val="19"/>
        </w:rPr>
        <w:t>RealWaste, gerçek bir depolama sahasında çekilmiş 524 x 524 piksellik 4.752 renkli görüntü içerir. DOI: 10.24432/C5SS4G. UCI atıf kaydı CC BY 4.0, yazarın resmî GitHub README dosyası CC BY-NC-SA 4.0 belirtir. Bu çalışma daha kısıtlayıcı koşulu esas alır ve ham görüntüleri teslim paketine dahil etmez. Veri setinde eksik etiket yoktur; en büyük Plastic sınıfı ile en küçük Textile Trash sınıfı arasında yaklaşık 2,9 kat fark bulunur.</w:t>
      </w:r>
    </w:p>
    <w:tbl>
      <w:tblPr>
        <w:tblW w:type="auto" w:w="0"/>
        <w:jc w:val="center"/>
        <w:tblLayout w:type="fixed"/>
        <w:tblLook w:firstColumn="1" w:firstRow="1" w:lastColumn="0" w:lastRow="0" w:noHBand="0" w:noVBand="1" w:val="04A0"/>
      </w:tblPr>
      <w:tblGrid>
        <w:gridCol w:w="3532"/>
        <w:gridCol w:w="3532"/>
        <w:gridCol w:w="3532"/>
      </w:tblGrid>
      <w:tr>
        <w:trPr>
          <w:tblHeader w:val="true"/>
        </w:trPr>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173F3A"/>
          </w:tcPr>
          <w:p>
            <w:pPr>
              <w:spacing w:after="0"/>
            </w:pPr>
            <w:r>
              <w:rPr>
                <w:b/>
                <w:color w:val="FFFFFF"/>
              </w:rPr>
            </w:r>
            <w:r>
              <w:rPr>
                <w:rFonts w:ascii="Arial" w:hAnsi="Arial"/>
                <w:b/>
                <w:color w:val="FFFFFF"/>
                <w:sz w:val="18"/>
              </w:rPr>
              <w:t>Alan</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173F3A"/>
          </w:tcPr>
          <w:p>
            <w:pPr>
              <w:spacing w:after="0"/>
            </w:pPr>
            <w:r>
              <w:rPr>
                <w:b/>
                <w:color w:val="FFFFFF"/>
              </w:rPr>
            </w:r>
            <w:r>
              <w:rPr>
                <w:rFonts w:ascii="Arial" w:hAnsi="Arial"/>
                <w:b/>
                <w:color w:val="FFFFFF"/>
                <w:sz w:val="18"/>
              </w:rPr>
              <w:t>Değer</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173F3A"/>
          </w:tcPr>
          <w:p>
            <w:pPr>
              <w:spacing w:after="0"/>
            </w:pPr>
            <w:r>
              <w:rPr>
                <w:b/>
                <w:color w:val="FFFFFF"/>
              </w:rPr>
            </w:r>
            <w:r>
              <w:rPr>
                <w:rFonts w:ascii="Arial" w:hAnsi="Arial"/>
                <w:b/>
                <w:color w:val="FFFFFF"/>
                <w:sz w:val="18"/>
              </w:rPr>
              <w:t>Proje kararı</w:t>
            </w:r>
          </w:p>
        </w:tc>
      </w:tr>
      <w:tr>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8"/>
              </w:rPr>
              <w:t>Kaynak</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8"/>
              </w:rPr>
              <w:t>UCI + yazar deposu</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8"/>
              </w:rPr>
              <w:t>Kalıcı DOI ve lisans denetimi</w:t>
            </w:r>
          </w:p>
        </w:tc>
      </w:tr>
      <w:tr>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8"/>
              </w:rPr>
              <w:t>Bölme</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8"/>
              </w:rPr>
              <w:t>3.326 / 713 / 713</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8"/>
              </w:rPr>
              <w:t>Katmanlı %70 / %15 / %15</w:t>
            </w:r>
          </w:p>
        </w:tc>
      </w:tr>
      <w:tr>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8"/>
              </w:rPr>
              <w:t>Dengesizlik</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8"/>
              </w:rPr>
              <w:t>318-921 örnek/sınıf</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8"/>
              </w:rPr>
              <w:t>Sınıf ağırlıklı çapraz entropi</w:t>
            </w:r>
          </w:p>
        </w:tc>
      </w:tr>
    </w:tbl>
    <w:p>
      <w:pPr>
        <w:spacing w:before="140" w:after="80"/>
      </w:pPr>
      <w:r>
        <w:rPr>
          <w:rFonts w:ascii="Arial" w:hAnsi="Arial"/>
          <w:b/>
          <w:color w:val="111111"/>
          <w:sz w:val="30"/>
        </w:rPr>
        <w:t>Temel sınır</w:t>
      </w:r>
    </w:p>
    <w:p>
      <w:pPr>
        <w:spacing w:after="100" w:line="259" w:lineRule="auto"/>
      </w:pPr>
      <w:r>
        <w:rPr>
          <w:rFonts w:ascii="Arial" w:hAnsi="Arial"/>
          <w:color w:val="111111"/>
          <w:sz w:val="19"/>
        </w:rPr>
        <w:t>Veri sahaya yakın olsa da tek bir toplama ortamını temsil eder. Farklı şehir, kamera, mevsim ve sıkıştırılmış/örtüşen atık koşullarında ek doğrulama gerekir.</w:t>
      </w:r>
    </w:p>
    <w:p>
      <w:r>
        <w:br w:type="page"/>
      </w:r>
    </w:p>
    <w:p>
      <w:pPr>
        <w:spacing w:after="60"/>
      </w:pPr>
      <w:r>
        <w:rPr>
          <w:rFonts w:ascii="Arial" w:hAnsi="Arial"/>
          <w:b/>
          <w:color w:val="111111"/>
          <w:sz w:val="50"/>
        </w:rPr>
        <w:t>Veri keşfi ve ön işleme</w:t>
      </w:r>
    </w:p>
    <w:p>
      <w:pPr>
        <w:spacing w:after="180"/>
      </w:pPr>
      <w:r>
        <w:rPr>
          <w:rFonts w:ascii="Arial" w:hAnsi="Arial"/>
          <w:color w:val="66736F"/>
          <w:sz w:val="21"/>
        </w:rPr>
        <w:t>Sınıf dengesi, görsel çeşitlilik ve aydınlatma farklarının incelenmesi</w:t>
      </w:r>
    </w:p>
    <w:tbl>
      <w:tblPr>
        <w:tblW w:type="auto" w:w="0"/>
        <w:jc w:val="center"/>
        <w:tblLook w:firstColumn="1" w:firstRow="1" w:lastColumn="0" w:lastRow="0" w:noHBand="0" w:noVBand="1" w:val="04A0"/>
      </w:tblPr>
      <w:tblGrid>
        <w:gridCol w:w="5298"/>
        <w:gridCol w:w="5298"/>
      </w:tblGrid>
      <w:tr>
        <w:tc>
          <w:tcPr>
            <w:tcW w:type="dxa" w:w="5298"/>
            <w:tcBorders>
              <w:top w:val="single" w:sz="0" w:color="FFFFFF"/>
              <w:left w:val="single" w:sz="0" w:color="FFFFFF"/>
              <w:bottom w:val="single" w:sz="0" w:color="FFFFFF"/>
              <w:right w:val="single" w:sz="0" w:color="FFFFFF"/>
            </w:tcBorders>
          </w:tcPr>
          <w:p>
            <w:r>
              <w:drawing>
                <wp:inline xmlns:a="http://schemas.openxmlformats.org/drawingml/2006/main" xmlns:pic="http://schemas.openxmlformats.org/drawingml/2006/picture">
                  <wp:extent cx="3063240" cy="1615163"/>
                  <wp:docPr id="1" name="Picture 1" title="RealWaste sınıf dağılımı" descr="Dokuz atık sınıfındaki görüntü sayılarını gösteren sütun grafik"/>
                  <wp:cNvGraphicFramePr>
                    <a:graphicFrameLocks noChangeAspect="1"/>
                  </wp:cNvGraphicFramePr>
                  <a:graphic>
                    <a:graphicData uri="http://schemas.openxmlformats.org/drawingml/2006/picture">
                      <pic:pic>
                        <pic:nvPicPr>
                          <pic:cNvPr id="0" name="01-sinif-dagilimi.png"/>
                          <pic:cNvPicPr/>
                        </pic:nvPicPr>
                        <pic:blipFill>
                          <a:blip r:embed="rId10"/>
                          <a:stretch>
                            <a:fillRect/>
                          </a:stretch>
                        </pic:blipFill>
                        <pic:spPr>
                          <a:xfrm>
                            <a:off x="0" y="0"/>
                            <a:ext cx="3063240" cy="1615163"/>
                          </a:xfrm>
                          <a:prstGeom prst="rect"/>
                        </pic:spPr>
                      </pic:pic>
                    </a:graphicData>
                  </a:graphic>
                </wp:inline>
              </w:drawing>
            </w:r>
          </w:p>
        </w:tc>
        <w:tc>
          <w:tcPr>
            <w:tcW w:type="dxa" w:w="5298"/>
            <w:tcBorders>
              <w:top w:val="single" w:sz="0" w:color="FFFFFF"/>
              <w:left w:val="single" w:sz="0" w:color="FFFFFF"/>
              <w:bottom w:val="single" w:sz="0" w:color="FFFFFF"/>
              <w:right w:val="single" w:sz="0" w:color="FFFFFF"/>
            </w:tcBorders>
          </w:tcPr>
          <w:p>
            <w:r>
              <w:drawing>
                <wp:inline xmlns:a="http://schemas.openxmlformats.org/drawingml/2006/main" xmlns:pic="http://schemas.openxmlformats.org/drawingml/2006/picture">
                  <wp:extent cx="3063240" cy="3063240"/>
                  <wp:docPr id="2" name="Picture 2" title="RealWaste sınıf örnekleri" descr="Dokuz atık sınıfının her birinden bir gerçek ortam görüntüsü"/>
                  <wp:cNvGraphicFramePr>
                    <a:graphicFrameLocks noChangeAspect="1"/>
                  </wp:cNvGraphicFramePr>
                  <a:graphic>
                    <a:graphicData uri="http://schemas.openxmlformats.org/drawingml/2006/picture">
                      <pic:pic>
                        <pic:nvPicPr>
                          <pic:cNvPr id="0" name="02-sinif-ornekleri.png"/>
                          <pic:cNvPicPr/>
                        </pic:nvPicPr>
                        <pic:blipFill>
                          <a:blip r:embed="rId11"/>
                          <a:stretch>
                            <a:fillRect/>
                          </a:stretch>
                        </pic:blipFill>
                        <pic:spPr>
                          <a:xfrm>
                            <a:off x="0" y="0"/>
                            <a:ext cx="3063240" cy="3063240"/>
                          </a:xfrm>
                          <a:prstGeom prst="rect"/>
                        </pic:spPr>
                      </pic:pic>
                    </a:graphicData>
                  </a:graphic>
                </wp:inline>
              </w:drawing>
            </w:r>
          </w:p>
        </w:tc>
      </w:tr>
    </w:tbl>
    <w:p>
      <w:pPr>
        <w:spacing w:before="140" w:after="80"/>
      </w:pPr>
      <w:r>
        <w:rPr>
          <w:rFonts w:ascii="Arial" w:hAnsi="Arial"/>
          <w:b/>
          <w:color w:val="111111"/>
          <w:sz w:val="30"/>
        </w:rPr>
        <w:t>3. Keşif bulguları</w:t>
      </w:r>
    </w:p>
    <w:p>
      <w:pPr>
        <w:pStyle w:val="ListBullet"/>
        <w:spacing w:after="40"/>
        <w:ind w:left="312"/>
      </w:pPr>
      <w:r>
        <w:rPr>
          <w:rFonts w:ascii="Arial" w:hAnsi="Arial"/>
          <w:sz w:val="18"/>
        </w:rPr>
        <w:t>Plastic 921 örnekle en büyük; Textile Trash 318 örnekle en küçük sınıftır.</w:t>
      </w:r>
    </w:p>
    <w:p>
      <w:pPr>
        <w:pStyle w:val="ListBullet"/>
        <w:spacing w:after="40"/>
        <w:ind w:left="312"/>
      </w:pPr>
      <w:r>
        <w:rPr>
          <w:rFonts w:ascii="Arial" w:hAnsi="Arial"/>
          <w:sz w:val="18"/>
        </w:rPr>
        <w:t>Gerçek saha arka planları temiz ürün fotoğraflarına göre daha karmaşıktır; örtüşme ve kirlenme sınıf ipuçlarını zayıflatır.</w:t>
      </w:r>
    </w:p>
    <w:p>
      <w:pPr>
        <w:pStyle w:val="ListBullet"/>
        <w:spacing w:after="40"/>
        <w:ind w:left="312"/>
      </w:pPr>
      <w:r>
        <w:rPr>
          <w:rFonts w:ascii="Arial" w:hAnsi="Arial"/>
          <w:sz w:val="18"/>
        </w:rPr>
        <w:t>Sınıfların parlaklık dağılımları farklıdır; model yalnızca renge güvenmemeli, biçim ve doku örüntülerini de öğrenmelidir.</w:t>
      </w:r>
    </w:p>
    <w:p>
      <w:pPr>
        <w:spacing w:before="140" w:after="80"/>
      </w:pPr>
      <w:r>
        <w:rPr>
          <w:rFonts w:ascii="Arial" w:hAnsi="Arial"/>
          <w:b/>
          <w:color w:val="111111"/>
          <w:sz w:val="30"/>
        </w:rPr>
        <w:t>4. Ön işleme ve veri sızıntısı kontrolü</w:t>
      </w:r>
    </w:p>
    <w:tbl>
      <w:tblPr>
        <w:tblW w:type="auto" w:w="0"/>
        <w:jc w:val="center"/>
        <w:tblLayout w:type="fixed"/>
        <w:tblLook w:firstColumn="1" w:firstRow="1" w:lastColumn="0" w:lastRow="0" w:noHBand="0" w:noVBand="1" w:val="04A0"/>
      </w:tblPr>
      <w:tblGrid>
        <w:gridCol w:w="3532"/>
        <w:gridCol w:w="3532"/>
        <w:gridCol w:w="3532"/>
      </w:tblGrid>
      <w:tr>
        <w:trPr>
          <w:tblHeader w:val="true"/>
        </w:trPr>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173F3A"/>
          </w:tcPr>
          <w:p>
            <w:pPr>
              <w:spacing w:after="0"/>
            </w:pPr>
            <w:r>
              <w:rPr>
                <w:b/>
                <w:color w:val="FFFFFF"/>
              </w:rPr>
            </w:r>
            <w:r>
              <w:rPr>
                <w:rFonts w:ascii="Arial" w:hAnsi="Arial"/>
                <w:b/>
                <w:color w:val="FFFFFF"/>
                <w:sz w:val="16"/>
              </w:rPr>
              <w:t>Adım</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173F3A"/>
          </w:tcPr>
          <w:p>
            <w:pPr>
              <w:spacing w:after="0"/>
            </w:pPr>
            <w:r>
              <w:rPr>
                <w:b/>
                <w:color w:val="FFFFFF"/>
              </w:rPr>
            </w:r>
            <w:r>
              <w:rPr>
                <w:rFonts w:ascii="Arial" w:hAnsi="Arial"/>
                <w:b/>
                <w:color w:val="FFFFFF"/>
                <w:sz w:val="16"/>
              </w:rPr>
              <w:t>Uygulama</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173F3A"/>
          </w:tcPr>
          <w:p>
            <w:pPr>
              <w:spacing w:after="0"/>
            </w:pPr>
            <w:r>
              <w:rPr>
                <w:b/>
                <w:color w:val="FFFFFF"/>
              </w:rPr>
            </w:r>
            <w:r>
              <w:rPr>
                <w:rFonts w:ascii="Arial" w:hAnsi="Arial"/>
                <w:b/>
                <w:color w:val="FFFFFF"/>
                <w:sz w:val="16"/>
              </w:rPr>
              <w:t>Gerekçe</w:t>
            </w:r>
          </w:p>
        </w:tc>
      </w:tr>
      <w:tr>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6"/>
              </w:rPr>
              <w:t>Bölme</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6"/>
              </w:rPr>
              <w:t>Katmanlı %70/%15/%15, seed 42</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6"/>
              </w:rPr>
              <w:t>Sınıf oranlarını korur</w:t>
            </w:r>
          </w:p>
        </w:tc>
      </w:tr>
      <w:tr>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6"/>
              </w:rPr>
              <w:t>Boyut</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6"/>
              </w:rPr>
              <w:t>224 x 224 RGB</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6"/>
              </w:rPr>
              <w:t>Ön eğitim çözünürlüğüyle uyum</w:t>
            </w:r>
          </w:p>
        </w:tc>
      </w:tr>
      <w:tr>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6"/>
              </w:rPr>
              <w:t>Normalizasyon</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6"/>
              </w:rPr>
              <w:t>Her kanalda [-1, 1]</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6"/>
              </w:rPr>
              <w:t>MobileNetV2 ön işlemesiyle uyum</w:t>
            </w:r>
          </w:p>
        </w:tc>
      </w:tr>
      <w:tr>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6"/>
              </w:rPr>
              <w:t>Artırma</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6"/>
              </w:rPr>
              <w:t>Yatay çevirme, +/-12 derece dönüş, hafif parlaklık/kontrast</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6"/>
              </w:rPr>
              <w:t>Yalnızca eğitim verisi; saha çeşitliliği</w:t>
            </w:r>
          </w:p>
        </w:tc>
      </w:tr>
      <w:tr>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6"/>
              </w:rPr>
              <w:t>Denge</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6"/>
              </w:rPr>
              <w:t>Sınıf ağırlıklı kayıp</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6"/>
              </w:rPr>
              <w:t>Azınlık sınıflarını görünür kılar</w:t>
            </w:r>
          </w:p>
        </w:tc>
      </w:tr>
    </w:tbl>
    <w:p>
      <w:pPr>
        <w:spacing w:after="100" w:line="259" w:lineRule="auto"/>
      </w:pPr>
      <w:r>
        <w:rPr>
          <w:rFonts w:ascii="Arial" w:hAnsi="Arial"/>
          <w:color w:val="111111"/>
          <w:sz w:val="19"/>
        </w:rPr>
        <w:t>Bölme öncesi 4.752 dosya SHA-256 ile denetlendi; tam içerik kopyası bulunmadı. Veri artırma yalnızca eğitim veri yükleyicisinde uygulandığı için doğrulama ve test setine yapay türev taşınmadı.</w:t>
      </w:r>
    </w:p>
    <w:p>
      <w:r>
        <w:br w:type="page"/>
      </w:r>
    </w:p>
    <w:p>
      <w:pPr>
        <w:spacing w:after="60"/>
      </w:pPr>
      <w:r>
        <w:rPr>
          <w:rFonts w:ascii="Arial" w:hAnsi="Arial"/>
          <w:b/>
          <w:color w:val="111111"/>
          <w:sz w:val="50"/>
        </w:rPr>
        <w:t>Model tasarımı ve eğitim</w:t>
      </w:r>
    </w:p>
    <w:p>
      <w:pPr>
        <w:spacing w:after="180"/>
      </w:pPr>
      <w:r>
        <w:rPr>
          <w:rFonts w:ascii="Arial" w:hAnsi="Arial"/>
          <w:color w:val="66736F"/>
          <w:sz w:val="21"/>
        </w:rPr>
        <w:t>Ön eğitimli ve taşınabilir bir mimariyle yeniden üretilebilir eğitim akışı</w:t>
      </w:r>
    </w:p>
    <w:p>
      <w:pPr>
        <w:spacing w:before="140" w:after="80"/>
      </w:pPr>
      <w:r>
        <w:rPr>
          <w:rFonts w:ascii="Arial" w:hAnsi="Arial"/>
          <w:b/>
          <w:color w:val="111111"/>
          <w:sz w:val="30"/>
        </w:rPr>
        <w:t>5. Mimari</w:t>
      </w:r>
    </w:p>
    <w:tbl>
      <w:tblPr>
        <w:tblW w:type="auto" w:w="0"/>
        <w:jc w:val="center"/>
        <w:tblLayout w:type="fixed"/>
        <w:tblLook w:firstColumn="1" w:firstRow="1" w:lastColumn="0" w:lastRow="0" w:noHBand="0" w:noVBand="1" w:val="04A0"/>
      </w:tblPr>
      <w:tblGrid>
        <w:gridCol w:w="3532"/>
        <w:gridCol w:w="3532"/>
        <w:gridCol w:w="3532"/>
      </w:tblGrid>
      <w:tr>
        <w:trPr>
          <w:tblHeader w:val="true"/>
        </w:trPr>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173F3A"/>
          </w:tcPr>
          <w:p>
            <w:pPr>
              <w:spacing w:after="0"/>
            </w:pPr>
            <w:r>
              <w:rPr>
                <w:b/>
                <w:color w:val="FFFFFF"/>
              </w:rPr>
            </w:r>
            <w:r>
              <w:rPr>
                <w:rFonts w:ascii="Arial" w:hAnsi="Arial"/>
                <w:b/>
                <w:color w:val="FFFFFF"/>
                <w:sz w:val="16"/>
              </w:rPr>
              <w:t>Bileşen</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173F3A"/>
          </w:tcPr>
          <w:p>
            <w:pPr>
              <w:spacing w:after="0"/>
            </w:pPr>
            <w:r>
              <w:rPr>
                <w:b/>
                <w:color w:val="FFFFFF"/>
              </w:rPr>
            </w:r>
            <w:r>
              <w:rPr>
                <w:rFonts w:ascii="Arial" w:hAnsi="Arial"/>
                <w:b/>
                <w:color w:val="FFFFFF"/>
                <w:sz w:val="16"/>
              </w:rPr>
              <w:t>Yapı</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173F3A"/>
          </w:tcPr>
          <w:p>
            <w:pPr>
              <w:spacing w:after="0"/>
            </w:pPr>
            <w:r>
              <w:rPr>
                <w:b/>
                <w:color w:val="FFFFFF"/>
              </w:rPr>
            </w:r>
            <w:r>
              <w:rPr>
                <w:rFonts w:ascii="Arial" w:hAnsi="Arial"/>
                <w:b/>
                <w:color w:val="FFFFFF"/>
                <w:sz w:val="16"/>
              </w:rPr>
              <w:t>İşlev</w:t>
            </w:r>
          </w:p>
        </w:tc>
      </w:tr>
      <w:tr>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6"/>
              </w:rPr>
              <w:t>Girdi</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6"/>
              </w:rPr>
              <w:t>224 x 224 x 3</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6"/>
              </w:rPr>
              <w:t>RGB görüntü</w:t>
            </w:r>
          </w:p>
        </w:tc>
      </w:tr>
      <w:tr>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6"/>
              </w:rPr>
              <w:t>Başlangıç</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6"/>
              </w:rPr>
              <w:t>ImageNet-1K ön eğitimi</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6"/>
              </w:rPr>
              <w:t>Genel görsel özellikleri aktarır</w:t>
            </w:r>
          </w:p>
        </w:tc>
      </w:tr>
      <w:tr>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6"/>
              </w:rPr>
              <w:t>Omurga</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6"/>
              </w:rPr>
              <w:t>MobileNetV2 ters artık blokları</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6"/>
              </w:rPr>
              <w:t>Çok ölçekli biçim ve doku</w:t>
            </w:r>
          </w:p>
        </w:tc>
      </w:tr>
      <w:tr>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6"/>
              </w:rPr>
              <w:t>Evrişim</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6"/>
              </w:rPr>
              <w:t>Derinlik ayrılabilir evrişim</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6"/>
              </w:rPr>
              <w:t>Düşük parametre ve işlem maliyeti</w:t>
            </w:r>
          </w:p>
        </w:tc>
      </w:tr>
      <w:tr>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6"/>
              </w:rPr>
              <w:t>Özet</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6"/>
              </w:rPr>
              <w:t>Global ortalama havuzlama</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6"/>
              </w:rPr>
              <w:t>Uzamsal özellikleri özetler</w:t>
            </w:r>
          </w:p>
        </w:tc>
      </w:tr>
      <w:tr>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6"/>
              </w:rPr>
              <w:t>Çıkış</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6"/>
              </w:rPr>
              <w:t>Yeni 9 sınıflı katman</w:t>
            </w:r>
          </w:p>
        </w:tc>
        <w:tc>
          <w:tcPr>
            <w:tcW w:type="dxa" w:w="3532"/>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6"/>
              </w:rPr>
              <w:t>Sınıf ağırlıklı çapraz entropi</w:t>
            </w:r>
          </w:p>
        </w:tc>
      </w:tr>
    </w:tbl>
    <w:p>
      <w:pPr>
        <w:spacing w:before="140" w:after="80"/>
      </w:pPr>
      <w:r>
        <w:rPr>
          <w:rFonts w:ascii="Arial" w:hAnsi="Arial"/>
          <w:b/>
          <w:color w:val="111111"/>
          <w:sz w:val="30"/>
        </w:rPr>
        <w:t>6. Eğitim ayarları</w:t>
      </w:r>
    </w:p>
    <w:p>
      <w:pPr>
        <w:spacing w:after="100" w:line="259" w:lineRule="auto"/>
      </w:pPr>
      <w:r>
        <w:rPr>
          <w:rFonts w:ascii="Arial" w:hAnsi="Arial"/>
          <w:color w:val="111111"/>
          <w:sz w:val="19"/>
        </w:rPr>
        <w:t>Model Apple MPS üzerinde, mini-batch boyutu 32 ve 1e-04 başlangıç öğrenme oranıyla AdamW kullanılarak uçtan uca ince ayarlandı. Doğrulama kaybı izlenerek 4 epoch içindeki en iyi ağırlık saklandı; iyileşme durduğunda öğrenme oranını azaltma ve erken durdurma korumaları tanımlandı. Toplam parametre sayısı 2.235.401; deney seed 42 ile yeniden üretilebilir biçimde yürütüldü.</w:t>
      </w:r>
    </w:p>
    <w:p>
      <w:r>
        <w:drawing>
          <wp:inline xmlns:a="http://schemas.openxmlformats.org/drawingml/2006/main" xmlns:pic="http://schemas.openxmlformats.org/drawingml/2006/picture">
            <wp:extent cx="6172200" cy="2524991"/>
            <wp:docPr id="3" name="Picture 3" title="Eğitim ve doğrulama eğrileri" descr="Dört epoch boyunca eğitim ve doğrulama kaybı ile doğruluk değerleri"/>
            <wp:cNvGraphicFramePr>
              <a:graphicFrameLocks noChangeAspect="1"/>
            </wp:cNvGraphicFramePr>
            <a:graphic>
              <a:graphicData uri="http://schemas.openxmlformats.org/drawingml/2006/picture">
                <pic:pic>
                  <pic:nvPicPr>
                    <pic:cNvPr id="0" name="04-egitim-egrileri.png"/>
                    <pic:cNvPicPr/>
                  </pic:nvPicPr>
                  <pic:blipFill>
                    <a:blip r:embed="rId12"/>
                    <a:stretch>
                      <a:fillRect/>
                    </a:stretch>
                  </pic:blipFill>
                  <pic:spPr>
                    <a:xfrm>
                      <a:off x="0" y="0"/>
                      <a:ext cx="6172200" cy="2524991"/>
                    </a:xfrm>
                    <a:prstGeom prst="rect"/>
                  </pic:spPr>
                </pic:pic>
              </a:graphicData>
            </a:graphic>
          </wp:inline>
        </w:drawing>
      </w:r>
    </w:p>
    <w:p>
      <w:pPr>
        <w:spacing w:after="100" w:line="259" w:lineRule="auto"/>
      </w:pPr>
      <w:r>
        <w:rPr>
          <w:rFonts w:ascii="Arial" w:hAnsi="Arial"/>
          <w:color w:val="111111"/>
          <w:sz w:val="19"/>
        </w:rPr>
        <w:t>Model seçimi gerekçesi: MobileNetV2, küçük veri kümelerinde ImageNet görsel bilgisini aktarırken ters artık blokları ve derinlik ayrılabilir evrişimlerle taşınabilir bir yapı sunar. Dokuz sınıflı son katman yeniden öğrenilmiş, omurganın tamamı düşük öğrenme oranıyla ince ayarlanmıştır.</w:t>
      </w:r>
    </w:p>
    <w:p>
      <w:r>
        <w:br w:type="page"/>
      </w:r>
    </w:p>
    <w:p>
      <w:pPr>
        <w:spacing w:after="60"/>
      </w:pPr>
      <w:r>
        <w:rPr>
          <w:rFonts w:ascii="Arial" w:hAnsi="Arial"/>
          <w:b/>
          <w:color w:val="111111"/>
          <w:sz w:val="50"/>
        </w:rPr>
        <w:t>Değerlendirme sonuçları</w:t>
      </w:r>
    </w:p>
    <w:p>
      <w:pPr>
        <w:spacing w:after="180"/>
      </w:pPr>
      <w:r>
        <w:rPr>
          <w:rFonts w:ascii="Arial" w:hAnsi="Arial"/>
          <w:color w:val="66736F"/>
          <w:sz w:val="21"/>
        </w:rPr>
        <w:t>Genel başarı, sınıf dengesi ve hata maliyeti birlikte değerlendirildi</w:t>
      </w:r>
    </w:p>
    <w:tbl>
      <w:tblPr>
        <w:tblW w:type="auto" w:w="0"/>
        <w:jc w:val="center"/>
        <w:tblLook w:firstColumn="1" w:firstRow="1" w:lastColumn="0" w:lastRow="0" w:noHBand="0" w:noVBand="1" w:val="04A0"/>
      </w:tblPr>
      <w:tblGrid>
        <w:gridCol w:w="2119"/>
        <w:gridCol w:w="2119"/>
        <w:gridCol w:w="2119"/>
        <w:gridCol w:w="2119"/>
        <w:gridCol w:w="2119"/>
      </w:tblGrid>
      <w:tr>
        <w:tc>
          <w:tcPr>
            <w:tcW w:type="dxa" w:w="2002"/>
            <w:shd w:fill="EAF0EA"/>
            <w:tcBorders>
              <w:top w:val="single" w:sz="8" w:color="A7C4A0"/>
              <w:left w:val="single" w:sz="8" w:color="A7C4A0"/>
              <w:bottom w:val="single" w:sz="8" w:color="A7C4A0"/>
              <w:right w:val="single" w:sz="8" w:color="A7C4A0"/>
            </w:tcBorders>
            <w:tcMar>
              <w:top w:w="120" w:type="dxa"/>
              <w:start w:w="90" w:type="dxa"/>
              <w:bottom w:w="120" w:type="dxa"/>
              <w:end w:w="90" w:type="dxa"/>
            </w:tcMar>
          </w:tcPr>
          <w:p>
            <w:pPr>
              <w:spacing w:after="20"/>
              <w:jc w:val="center"/>
            </w:pPr>
            <w:r>
              <w:rPr>
                <w:rFonts w:ascii="Arial" w:hAnsi="Arial"/>
                <w:b/>
                <w:color w:val="2D6A63"/>
                <w:sz w:val="36"/>
              </w:rPr>
              <w:t>%84,9</w:t>
            </w:r>
            <w:r>
              <w:br/>
            </w:r>
            <w:r>
              <w:rPr>
                <w:rFonts w:ascii="Arial" w:hAnsi="Arial"/>
                <w:color w:val="66736F"/>
                <w:sz w:val="16"/>
              </w:rPr>
              <w:t>doğruluk</w:t>
            </w:r>
          </w:p>
        </w:tc>
        <w:tc>
          <w:tcPr>
            <w:tcW w:type="dxa" w:w="2002"/>
            <w:shd w:fill="EAF0EA"/>
            <w:tcBorders>
              <w:top w:val="single" w:sz="8" w:color="A7C4A0"/>
              <w:left w:val="single" w:sz="8" w:color="A7C4A0"/>
              <w:bottom w:val="single" w:sz="8" w:color="A7C4A0"/>
              <w:right w:val="single" w:sz="8" w:color="A7C4A0"/>
            </w:tcBorders>
            <w:tcMar>
              <w:top w:w="120" w:type="dxa"/>
              <w:start w:w="90" w:type="dxa"/>
              <w:bottom w:w="120" w:type="dxa"/>
              <w:end w:w="90" w:type="dxa"/>
            </w:tcMar>
          </w:tcPr>
          <w:p>
            <w:pPr>
              <w:spacing w:after="20"/>
              <w:jc w:val="center"/>
            </w:pPr>
            <w:r>
              <w:rPr>
                <w:rFonts w:ascii="Arial" w:hAnsi="Arial"/>
                <w:b/>
                <w:color w:val="2D6A63"/>
                <w:sz w:val="36"/>
              </w:rPr>
              <w:t>%84,8</w:t>
            </w:r>
            <w:r>
              <w:br/>
            </w:r>
            <w:r>
              <w:rPr>
                <w:rFonts w:ascii="Arial" w:hAnsi="Arial"/>
                <w:color w:val="66736F"/>
                <w:sz w:val="16"/>
              </w:rPr>
              <w:t>makro kesinlik</w:t>
            </w:r>
          </w:p>
        </w:tc>
        <w:tc>
          <w:tcPr>
            <w:tcW w:type="dxa" w:w="2002"/>
            <w:shd w:fill="EAF0EA"/>
            <w:tcBorders>
              <w:top w:val="single" w:sz="8" w:color="A7C4A0"/>
              <w:left w:val="single" w:sz="8" w:color="A7C4A0"/>
              <w:bottom w:val="single" w:sz="8" w:color="A7C4A0"/>
              <w:right w:val="single" w:sz="8" w:color="A7C4A0"/>
            </w:tcBorders>
            <w:tcMar>
              <w:top w:w="120" w:type="dxa"/>
              <w:start w:w="90" w:type="dxa"/>
              <w:bottom w:w="120" w:type="dxa"/>
              <w:end w:w="90" w:type="dxa"/>
            </w:tcMar>
          </w:tcPr>
          <w:p>
            <w:pPr>
              <w:spacing w:after="20"/>
              <w:jc w:val="center"/>
            </w:pPr>
            <w:r>
              <w:rPr>
                <w:rFonts w:ascii="Arial" w:hAnsi="Arial"/>
                <w:b/>
                <w:color w:val="2D6A63"/>
                <w:sz w:val="36"/>
              </w:rPr>
              <w:t>%87,2</w:t>
            </w:r>
            <w:r>
              <w:br/>
            </w:r>
            <w:r>
              <w:rPr>
                <w:rFonts w:ascii="Arial" w:hAnsi="Arial"/>
                <w:color w:val="66736F"/>
                <w:sz w:val="16"/>
              </w:rPr>
              <w:t>makro duyarlılık</w:t>
            </w:r>
          </w:p>
        </w:tc>
        <w:tc>
          <w:tcPr>
            <w:tcW w:type="dxa" w:w="2002"/>
            <w:shd w:fill="EAF0EA"/>
            <w:tcBorders>
              <w:top w:val="single" w:sz="8" w:color="A7C4A0"/>
              <w:left w:val="single" w:sz="8" w:color="A7C4A0"/>
              <w:bottom w:val="single" w:sz="8" w:color="A7C4A0"/>
              <w:right w:val="single" w:sz="8" w:color="A7C4A0"/>
            </w:tcBorders>
            <w:tcMar>
              <w:top w:w="120" w:type="dxa"/>
              <w:start w:w="90" w:type="dxa"/>
              <w:bottom w:w="120" w:type="dxa"/>
              <w:end w:w="90" w:type="dxa"/>
            </w:tcMar>
          </w:tcPr>
          <w:p>
            <w:pPr>
              <w:spacing w:after="20"/>
              <w:jc w:val="center"/>
            </w:pPr>
            <w:r>
              <w:rPr>
                <w:rFonts w:ascii="Arial" w:hAnsi="Arial"/>
                <w:b/>
                <w:color w:val="2D6A63"/>
                <w:sz w:val="36"/>
              </w:rPr>
              <w:t>%85,5</w:t>
            </w:r>
            <w:r>
              <w:br/>
            </w:r>
            <w:r>
              <w:rPr>
                <w:rFonts w:ascii="Arial" w:hAnsi="Arial"/>
                <w:color w:val="66736F"/>
                <w:sz w:val="16"/>
              </w:rPr>
              <w:t>makro F1</w:t>
            </w:r>
          </w:p>
        </w:tc>
        <w:tc>
          <w:tcPr>
            <w:tcW w:type="dxa" w:w="2002"/>
            <w:shd w:fill="EAF0EA"/>
            <w:tcBorders>
              <w:top w:val="single" w:sz="8" w:color="A7C4A0"/>
              <w:left w:val="single" w:sz="8" w:color="A7C4A0"/>
              <w:bottom w:val="single" w:sz="8" w:color="A7C4A0"/>
              <w:right w:val="single" w:sz="8" w:color="A7C4A0"/>
            </w:tcBorders>
            <w:tcMar>
              <w:top w:w="120" w:type="dxa"/>
              <w:start w:w="90" w:type="dxa"/>
              <w:bottom w:w="120" w:type="dxa"/>
              <w:end w:w="90" w:type="dxa"/>
            </w:tcMar>
          </w:tcPr>
          <w:p>
            <w:pPr>
              <w:spacing w:after="20"/>
              <w:jc w:val="center"/>
            </w:pPr>
            <w:r>
              <w:rPr>
                <w:rFonts w:ascii="Arial" w:hAnsi="Arial"/>
                <w:b/>
                <w:color w:val="2D6A63"/>
                <w:sz w:val="36"/>
              </w:rPr>
              <w:t>%94,4</w:t>
            </w:r>
            <w:r>
              <w:br/>
            </w:r>
            <w:r>
              <w:rPr>
                <w:rFonts w:ascii="Arial" w:hAnsi="Arial"/>
                <w:color w:val="66736F"/>
                <w:sz w:val="16"/>
              </w:rPr>
              <w:t>ilk 2 doğruluk</w:t>
            </w:r>
          </w:p>
        </w:tc>
      </w:tr>
    </w:tbl>
    <w:p>
      <w:pPr>
        <w:spacing w:after="100" w:line="259" w:lineRule="auto"/>
      </w:pPr>
      <w:r>
        <w:rPr>
          <w:rFonts w:ascii="Arial" w:hAnsi="Arial"/>
          <w:color w:val="111111"/>
          <w:sz w:val="19"/>
        </w:rPr>
        <w:t>Her görüntüye çoğunluk sınıfını atayan temel yaklaşımın doğruluğu %19,4; modelin doğruluğu %84,9 ve makro F1 değeri %85,5 oldu. Makro F1, küçük sınıfların büyük sınıflar tarafından gölgelenmesini engellediği için ana değerlendirme ölçütüdür.</w:t>
      </w:r>
    </w:p>
    <w:p>
      <w:pPr>
        <w:jc w:val="center"/>
      </w:pPr>
      <w:r>
        <w:drawing>
          <wp:inline xmlns:a="http://schemas.openxmlformats.org/drawingml/2006/main" xmlns:pic="http://schemas.openxmlformats.org/drawingml/2006/picture">
            <wp:extent cx="5074920" cy="4334827"/>
            <wp:docPr id="4" name="Picture 4" title="Normalize karmaşıklık matrisi" descr="Dokuz sınıf için gerçek ve tahmin edilen etiketlerin normalize karmaşıklık matrisi"/>
            <wp:cNvGraphicFramePr>
              <a:graphicFrameLocks noChangeAspect="1"/>
            </wp:cNvGraphicFramePr>
            <a:graphic>
              <a:graphicData uri="http://schemas.openxmlformats.org/drawingml/2006/picture">
                <pic:pic>
                  <pic:nvPicPr>
                    <pic:cNvPr id="0" name="05-confusion-matrix.png"/>
                    <pic:cNvPicPr/>
                  </pic:nvPicPr>
                  <pic:blipFill>
                    <a:blip r:embed="rId13"/>
                    <a:stretch>
                      <a:fillRect/>
                    </a:stretch>
                  </pic:blipFill>
                  <pic:spPr>
                    <a:xfrm>
                      <a:off x="0" y="0"/>
                      <a:ext cx="5074920" cy="4334827"/>
                    </a:xfrm>
                    <a:prstGeom prst="rect"/>
                  </pic:spPr>
                </pic:pic>
              </a:graphicData>
            </a:graphic>
          </wp:inline>
        </w:drawing>
      </w:r>
    </w:p>
    <w:p>
      <w:pPr>
        <w:spacing w:before="140" w:after="80"/>
      </w:pPr>
      <w:r>
        <w:rPr>
          <w:rFonts w:ascii="Arial" w:hAnsi="Arial"/>
          <w:b/>
          <w:color w:val="111111"/>
          <w:sz w:val="30"/>
        </w:rPr>
        <w:t>Sınıf bazlı F1</w:t>
      </w:r>
    </w:p>
    <w:tbl>
      <w:tblPr>
        <w:tblW w:type="auto" w:w="0"/>
        <w:jc w:val="center"/>
        <w:tblLayout w:type="fixed"/>
        <w:tblLook w:firstColumn="1" w:firstRow="1" w:lastColumn="0" w:lastRow="0" w:noHBand="0" w:noVBand="1" w:val="04A0"/>
      </w:tblPr>
      <w:tblGrid>
        <w:gridCol w:w="2649"/>
        <w:gridCol w:w="2649"/>
        <w:gridCol w:w="2649"/>
        <w:gridCol w:w="2649"/>
      </w:tblGrid>
      <w:tr>
        <w:trPr>
          <w:tblHeader w:val="true"/>
        </w:trPr>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173F3A"/>
          </w:tcPr>
          <w:p>
            <w:pPr>
              <w:spacing w:after="0"/>
            </w:pPr>
            <w:r>
              <w:rPr>
                <w:b/>
                <w:color w:val="FFFFFF"/>
              </w:rPr>
            </w:r>
            <w:r>
              <w:rPr>
                <w:rFonts w:ascii="Arial" w:hAnsi="Arial"/>
                <w:b/>
                <w:color w:val="FFFFFF"/>
                <w:sz w:val="15"/>
              </w:rPr>
              <w:t>Sınıf</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173F3A"/>
          </w:tcPr>
          <w:p>
            <w:pPr>
              <w:spacing w:after="0"/>
            </w:pPr>
            <w:r>
              <w:rPr>
                <w:b/>
                <w:color w:val="FFFFFF"/>
              </w:rPr>
            </w:r>
            <w:r>
              <w:rPr>
                <w:rFonts w:ascii="Arial" w:hAnsi="Arial"/>
                <w:b/>
                <w:color w:val="FFFFFF"/>
                <w:sz w:val="15"/>
              </w:rPr>
              <w:t>Kesinlik</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173F3A"/>
          </w:tcPr>
          <w:p>
            <w:pPr>
              <w:spacing w:after="0"/>
            </w:pPr>
            <w:r>
              <w:rPr>
                <w:b/>
                <w:color w:val="FFFFFF"/>
              </w:rPr>
            </w:r>
            <w:r>
              <w:rPr>
                <w:rFonts w:ascii="Arial" w:hAnsi="Arial"/>
                <w:b/>
                <w:color w:val="FFFFFF"/>
                <w:sz w:val="15"/>
              </w:rPr>
              <w:t>Duyarlılık</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173F3A"/>
          </w:tcPr>
          <w:p>
            <w:pPr>
              <w:spacing w:after="0"/>
            </w:pPr>
            <w:r>
              <w:rPr>
                <w:b/>
                <w:color w:val="FFFFFF"/>
              </w:rPr>
            </w:r>
            <w:r>
              <w:rPr>
                <w:rFonts w:ascii="Arial" w:hAnsi="Arial"/>
                <w:b/>
                <w:color w:val="FFFFFF"/>
                <w:sz w:val="15"/>
              </w:rPr>
              <w:t>F1</w:t>
            </w:r>
          </w:p>
        </w:tc>
      </w:tr>
      <w:tr>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Cardboard</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%88,2</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%87,0</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%87,6</w:t>
            </w:r>
          </w:p>
        </w:tc>
      </w:tr>
      <w:tr>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5"/>
              </w:rPr>
              <w:t>Food Organics</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5"/>
              </w:rPr>
              <w:t>%87,1</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5"/>
              </w:rPr>
              <w:t>%87,1</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5"/>
              </w:rPr>
              <w:t>%87,1</w:t>
            </w:r>
          </w:p>
        </w:tc>
      </w:tr>
      <w:tr>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Glass</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%78,1</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%90,5</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%83,8</w:t>
            </w:r>
          </w:p>
        </w:tc>
      </w:tr>
      <w:tr>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5"/>
              </w:rPr>
              <w:t>Metal</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5"/>
              </w:rPr>
              <w:t>%82,8</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5"/>
              </w:rPr>
              <w:t>%89,8</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5"/>
              </w:rPr>
              <w:t>%86,2</w:t>
            </w:r>
          </w:p>
        </w:tc>
      </w:tr>
      <w:tr>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Miscellaneous Trash</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%73,1</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%76,0</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%74,5</w:t>
            </w:r>
          </w:p>
        </w:tc>
      </w:tr>
      <w:tr>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5"/>
              </w:rPr>
              <w:t>Paper</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5"/>
              </w:rPr>
              <w:t>%88,3</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5"/>
              </w:rPr>
              <w:t>%90,7</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5"/>
              </w:rPr>
              <w:t>%89,5</w:t>
            </w:r>
          </w:p>
        </w:tc>
      </w:tr>
      <w:tr>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Plastic</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%93,9</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%66,7</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%78,0</w:t>
            </w:r>
          </w:p>
        </w:tc>
      </w:tr>
      <w:tr>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5"/>
              </w:rPr>
              <w:t>Textile Trash</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5"/>
              </w:rPr>
              <w:t>%82,8</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5"/>
              </w:rPr>
              <w:t>%100,0</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shd w:fill="EAF0EA"/>
          </w:tcPr>
          <w:p>
            <w:pPr>
              <w:spacing w:after="0"/>
            </w:pPr>
            <w:r/>
            <w:r>
              <w:rPr>
                <w:rFonts w:ascii="Arial" w:hAnsi="Arial"/>
                <w:b w:val="0"/>
                <w:color w:val="111111"/>
                <w:sz w:val="15"/>
              </w:rPr>
              <w:t>%90,6</w:t>
            </w:r>
          </w:p>
        </w:tc>
      </w:tr>
      <w:tr>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Vegetation</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%88,7</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%96,9</w:t>
            </w:r>
          </w:p>
        </w:tc>
        <w:tc>
          <w:tcPr>
            <w:tcW w:type="dxa" w:w="2649"/>
            <w:vAlign w:val="center"/>
            <w:tcMar>
              <w:top w:w="45" w:type="dxa"/>
              <w:start w:w="90" w:type="dxa"/>
              <w:bottom w:w="45" w:type="dxa"/>
              <w:end w:w="90" w:type="dxa"/>
            </w:tcMar>
            <w:tcBorders>
              <w:top w:val="single" w:sz="6" w:color="D4DDD8"/>
              <w:left w:val="single" w:sz="6" w:color="D4DDD8"/>
              <w:bottom w:val="single" w:sz="6" w:color="D4DDD8"/>
              <w:right w:val="single" w:sz="6" w:color="D4DDD8"/>
            </w:tcBorders>
          </w:tcPr>
          <w:p>
            <w:pPr>
              <w:spacing w:after="0"/>
            </w:pPr>
            <w:r/>
            <w:r>
              <w:rPr>
                <w:rFonts w:ascii="Arial" w:hAnsi="Arial"/>
                <w:b w:val="0"/>
                <w:color w:val="111111"/>
                <w:sz w:val="15"/>
              </w:rPr>
              <w:t>%92,6</w:t>
            </w:r>
          </w:p>
        </w:tc>
      </w:tr>
    </w:tbl>
    <w:p>
      <w:r>
        <w:br w:type="page"/>
      </w:r>
    </w:p>
    <w:p>
      <w:pPr>
        <w:spacing w:after="60"/>
      </w:pPr>
      <w:r>
        <w:rPr>
          <w:rFonts w:ascii="Arial" w:hAnsi="Arial"/>
          <w:b/>
          <w:color w:val="111111"/>
          <w:sz w:val="50"/>
        </w:rPr>
        <w:t>Hata analizi, sonuç ve geliştirme</w:t>
      </w:r>
    </w:p>
    <w:p>
      <w:pPr>
        <w:spacing w:after="180"/>
      </w:pPr>
      <w:r>
        <w:rPr>
          <w:rFonts w:ascii="Arial" w:hAnsi="Arial"/>
          <w:color w:val="66736F"/>
          <w:sz w:val="21"/>
        </w:rPr>
        <w:t>Yanlış tahmin örnekleri ve geliştirme öncelikleri</w:t>
      </w:r>
    </w:p>
    <w:p>
      <w:pPr>
        <w:jc w:val="center"/>
      </w:pPr>
      <w:r>
        <w:drawing>
          <wp:inline xmlns:a="http://schemas.openxmlformats.org/drawingml/2006/main" xmlns:pic="http://schemas.openxmlformats.org/drawingml/2006/picture">
            <wp:extent cx="5897880" cy="4423410"/>
            <wp:docPr id="5" name="Picture 5" title="Yüksek güvenli yanlış tahminler" descr="Modelin yüksek güvenle yanlış sınıflandırdığı on iki test görüntüsü"/>
            <wp:cNvGraphicFramePr>
              <a:graphicFrameLocks noChangeAspect="1"/>
            </wp:cNvGraphicFramePr>
            <a:graphic>
              <a:graphicData uri="http://schemas.openxmlformats.org/drawingml/2006/picture">
                <pic:pic>
                  <pic:nvPicPr>
                    <pic:cNvPr id="0" name="06-hata-galerisi.png"/>
                    <pic:cNvPicPr/>
                  </pic:nvPicPr>
                  <pic:blipFill>
                    <a:blip r:embed="rId14"/>
                    <a:stretch>
                      <a:fillRect/>
                    </a:stretch>
                  </pic:blipFill>
                  <pic:spPr>
                    <a:xfrm>
                      <a:off x="0" y="0"/>
                      <a:ext cx="5897880" cy="4423410"/>
                    </a:xfrm>
                    <a:prstGeom prst="rect"/>
                  </pic:spPr>
                </pic:pic>
              </a:graphicData>
            </a:graphic>
          </wp:inline>
        </w:drawing>
      </w:r>
    </w:p>
    <w:p>
      <w:pPr>
        <w:spacing w:before="140" w:after="80"/>
      </w:pPr>
      <w:r>
        <w:rPr>
          <w:rFonts w:ascii="Arial" w:hAnsi="Arial"/>
          <w:b/>
          <w:color w:val="111111"/>
          <w:sz w:val="30"/>
        </w:rPr>
        <w:t>7. Hata örüntüleri</w:t>
      </w:r>
    </w:p>
    <w:p>
      <w:pPr>
        <w:pStyle w:val="ListBullet"/>
        <w:spacing w:after="40"/>
        <w:ind w:left="312"/>
      </w:pPr>
      <w:r>
        <w:rPr>
          <w:rFonts w:ascii="Arial" w:hAnsi="Arial"/>
          <w:sz w:val="18"/>
        </w:rPr>
        <w:t>Plastic → Glass: 13 test görüntüsü. Benzer doku, kirlenme veya örtüşen nesneler olası etkendir.</w:t>
      </w:r>
    </w:p>
    <w:p>
      <w:pPr>
        <w:pStyle w:val="ListBullet"/>
        <w:spacing w:after="40"/>
        <w:ind w:left="312"/>
      </w:pPr>
      <w:r>
        <w:rPr>
          <w:rFonts w:ascii="Arial" w:hAnsi="Arial"/>
          <w:sz w:val="18"/>
        </w:rPr>
        <w:t>Plastic → Miscellaneous Trash: 11 test görüntüsü. Benzer doku, kirlenme veya örtüşen nesneler olası etkendir.</w:t>
      </w:r>
    </w:p>
    <w:p>
      <w:pPr>
        <w:pStyle w:val="ListBullet"/>
        <w:spacing w:after="40"/>
        <w:ind w:left="312"/>
      </w:pPr>
      <w:r>
        <w:rPr>
          <w:rFonts w:ascii="Arial" w:hAnsi="Arial"/>
          <w:sz w:val="18"/>
        </w:rPr>
        <w:t>Plastic → Metal: 11 test görüntüsü. Benzer doku, kirlenme veya örtüşen nesneler olası etkendir.</w:t>
      </w:r>
    </w:p>
    <w:p>
      <w:pPr>
        <w:spacing w:before="140" w:after="80"/>
      </w:pPr>
      <w:r>
        <w:rPr>
          <w:rFonts w:ascii="Arial" w:hAnsi="Arial"/>
          <w:b/>
          <w:color w:val="111111"/>
          <w:sz w:val="30"/>
        </w:rPr>
        <w:t>8. Güçlü yönler, sınırlar ve sonraki adımlar</w:t>
      </w:r>
    </w:p>
    <w:p>
      <w:pPr>
        <w:pStyle w:val="ListBullet"/>
        <w:spacing w:after="40"/>
        <w:ind w:left="312"/>
      </w:pPr>
      <w:r>
        <w:rPr>
          <w:rFonts w:ascii="Arial" w:hAnsi="Arial"/>
          <w:sz w:val="18"/>
        </w:rPr>
        <w:t>Güçlü yön: Gerçek ortam verisi, katmanlı ayrım, sınıf ağırlığı ve ayrı test setiyle dürüst ölçüm.</w:t>
      </w:r>
    </w:p>
    <w:p>
      <w:pPr>
        <w:pStyle w:val="ListBullet"/>
        <w:spacing w:after="40"/>
        <w:ind w:left="312"/>
      </w:pPr>
      <w:r>
        <w:rPr>
          <w:rFonts w:ascii="Arial" w:hAnsi="Arial"/>
          <w:sz w:val="18"/>
        </w:rPr>
        <w:t>Sınır: Tek veri kaynağı; coğrafya, kamera ve yerel ayrıştırma kuralı değişimlerine karşı dış doğrulama yok.</w:t>
      </w:r>
    </w:p>
    <w:p>
      <w:pPr>
        <w:pStyle w:val="ListBullet"/>
        <w:spacing w:after="40"/>
        <w:ind w:left="312"/>
      </w:pPr>
      <w:r>
        <w:rPr>
          <w:rFonts w:ascii="Arial" w:hAnsi="Arial"/>
          <w:sz w:val="18"/>
        </w:rPr>
        <w:t>Geliştirme: Daha çeşitli saha verisi, etiket denetimi, ConvNeXt/EfficientNet karşılaştırması ve Grad-CAM ile karar bölgelerinin incelenmesi.</w:t>
      </w:r>
    </w:p>
    <w:p>
      <w:pPr>
        <w:pStyle w:val="ListBullet"/>
        <w:spacing w:after="40"/>
        <w:ind w:left="312"/>
      </w:pPr>
      <w:r>
        <w:rPr>
          <w:rFonts w:ascii="Arial" w:hAnsi="Arial"/>
          <w:sz w:val="18"/>
        </w:rPr>
        <w:t>Ürünleşme: Güveni düşük tahminleri insana yönlendiren eşik, veri kayması takibi ve sınıf bazlı hata izleme.</w:t>
      </w:r>
    </w:p>
    <w:p>
      <w:pPr>
        <w:spacing w:before="140" w:after="80"/>
      </w:pPr>
      <w:r>
        <w:rPr>
          <w:rFonts w:ascii="Arial" w:hAnsi="Arial"/>
          <w:b/>
          <w:color w:val="111111"/>
          <w:sz w:val="30"/>
        </w:rPr>
        <w:t>Sonuç</w:t>
      </w:r>
    </w:p>
    <w:p>
      <w:pPr>
        <w:spacing w:after="100" w:line="259" w:lineRule="auto"/>
      </w:pPr>
      <w:r>
        <w:rPr>
          <w:rFonts w:ascii="Arial" w:hAnsi="Arial"/>
          <w:color w:val="111111"/>
          <w:sz w:val="19"/>
        </w:rPr>
        <w:t>Atığını Tanı, dokuz sınıflı gerçek ortam probleminde çoğunluk sınıfı temel yaklaşımının belirgin üzerinde ve makro F1 %85,5 düzeyinde bir karar desteği üretmiştir. Hata örnekleri ve dış doğrulama eksikliği nedeniyle model doğrudan tesis otomasyonuna hazır değildir.</w:t>
      </w:r>
    </w:p>
    <w:p>
      <w:pPr>
        <w:spacing w:after="100" w:line="259" w:lineRule="auto"/>
      </w:pPr>
      <w:r>
        <w:rPr>
          <w:rFonts w:ascii="Arial" w:hAnsi="Arial"/>
          <w:color w:val="111111"/>
          <w:sz w:val="19"/>
        </w:rPr>
        <w:t>Kaynak: UCI RealWaste - https://archive.ics.uci.edu/dataset/908/realwaste - DOI 10.24432/C5SS4G. Lisans çelişkisi nedeniyle yazar deposundaki CC BY-NC-SA 4.0 koşulları esas alınmıştır.</w:t>
      </w:r>
    </w:p>
    <w:p>
      <w:pPr>
        <w:spacing w:after="0"/>
      </w:pPr>
      <w:r>
        <w:rPr>
          <w:rFonts w:ascii="Arial" w:hAnsi="Arial"/>
          <w:b/>
          <w:sz w:val="17"/>
        </w:rPr>
        <w:t xml:space="preserve">Proje bağlantıları  </w:t>
      </w:r>
      <w:hyperlink r:id="rId15">
        <w:r>
          <w:rPr>
            <w:color w:val="2D6A63"/>
            <w:u w:val="single"/>
            <w:sz w:val="17"/>
          </w:rPr>
          <w:t>GitHub proje deposu</w:t>
        </w:r>
      </w:hyperlink>
      <w:r>
        <w:rPr>
          <w:rFonts w:ascii="Arial" w:hAnsi="Arial"/>
          <w:sz w:val="17"/>
        </w:rPr>
        <w:t xml:space="preserve">  |  </w:t>
      </w:r>
      <w:hyperlink r:id="rId16">
        <w:r>
          <w:rPr>
            <w:color w:val="2D6A63"/>
            <w:u w:val="single"/>
            <w:sz w:val="17"/>
          </w:rPr>
          <w:t>Google Colab çalışma defteri</w:t>
        </w:r>
      </w:hyperlink>
    </w:p>
    <w:sectPr w:rsidR="00FC693F" w:rsidRPr="0006063C" w:rsidSect="00034616">
      <w:footerReference w:type="default" r:id="rId9"/>
      <w:pgSz w:w="12240" w:h="15840"/>
      <w:pgMar w:top="709"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36F"/>
        <w:sz w:val="16"/>
      </w:rPr>
      <w:t xml:space="preserve">Atığını Tanı  |  Makine ve Derin Öğrenme Final Projesi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github.com/serratanis/atigini-tani-atik-siniflandirma" TargetMode="External"/><Relationship Id="rId16" Type="http://schemas.openxmlformats.org/officeDocument/2006/relationships/hyperlink" Target="https://colab.research.google.com/github/serratanis/atigini-tani-atik-siniflandirma/blob/main/notebooks/Atigini_Tani_RealWaste.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Atığını Tanı Gerçek Ortam Atık Sınıflandırma Proje Raporu</dc:title>
  <dc:subject>Makine ve Derin Öğrenme Uygulamaları Final Projesi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