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Arial" w:hAnsi="Arial"/>
          <w:b/>
          <w:i w:val="0"/>
          <w:color w:val="000000"/>
          <w:sz w:val="40"/>
        </w:rPr>
        <w:t>Şehrin Nabzı Saatlik Bisiklet Paylaşım Talebi Tahmini</w:t>
      </w:r>
    </w:p>
    <w:p>
      <w:pPr>
        <w:spacing w:after="100"/>
      </w:pPr>
      <w:r>
        <w:rPr>
          <w:rFonts w:ascii="Arial" w:hAnsi="Arial"/>
          <w:b w:val="0"/>
          <w:i w:val="0"/>
          <w:color w:val="526777"/>
          <w:sz w:val="19"/>
        </w:rPr>
        <w:t>Basitleştirilmiş Python Eğitimi Final Projesi</w:t>
      </w:r>
    </w:p>
    <w:p>
      <w:pPr>
        <w:spacing w:after="100" w:line="259" w:lineRule="auto"/>
      </w:pPr>
      <w:r>
        <w:rPr>
          <w:rFonts w:ascii="Arial" w:hAnsi="Arial"/>
          <w:b w:val="0"/>
          <w:i w:val="0"/>
          <w:color w:val="000000"/>
          <w:sz w:val="18"/>
        </w:rPr>
        <w:t>Bu proje ay, saat, haftanın günü ve hava koşullarından Washington D.C. Capital Bikeshare sistemindeki saatlik yolculuk başlangıcı sayısını tahmin eder. Sonuç, bisiklet dağıtımı ve yoğun saat planlaması için destekleyici bir sinyal sunar.</w:t>
      </w:r>
    </w:p>
    <w:p>
      <w:pPr>
        <w:pStyle w:val="Heading1"/>
        <w:keepNext/>
        <w:spacing w:before="100" w:after="40"/>
      </w:pPr>
      <w:r>
        <w:rPr>
          <w:rFonts w:ascii="Arial" w:hAnsi="Arial"/>
          <w:b/>
          <w:i w:val="0"/>
          <w:color w:val="000000"/>
          <w:sz w:val="22"/>
        </w:rPr>
        <w:t>Veri ve hazırlık</w:t>
      </w:r>
    </w:p>
    <w:p>
      <w:pPr>
        <w:spacing w:after="60" w:line="252" w:lineRule="auto"/>
      </w:pPr>
      <w:r>
        <w:rPr>
          <w:rFonts w:ascii="Arial" w:hAnsi="Arial"/>
          <w:b w:val="0"/>
          <w:i w:val="0"/>
          <w:color w:val="000000"/>
          <w:sz w:val="18"/>
        </w:rPr>
        <w:t>Capital Bikeshare'ın 2025 boyunca yayımladığı 6.662.611 yolculuk saatlik toplamlar hâline getirildi. Bu toplamlar Open-Meteo hava verisiyle birleştirildi. İşlenmiş veri 8.760 saat ve 15 sütun içerir; eksik değer yoktur. Yolculuk kimliği, kullanıcı türü ve istasyon alanları modele alınmadı.</w:t>
      </w:r>
    </w:p>
    <w:p>
      <w:pPr>
        <w:pStyle w:val="Heading1"/>
        <w:keepNext/>
        <w:spacing w:before="100" w:after="40"/>
      </w:pPr>
      <w:r>
        <w:rPr>
          <w:rFonts w:ascii="Arial" w:hAnsi="Arial"/>
          <w:b/>
          <w:i w:val="0"/>
          <w:color w:val="000000"/>
          <w:sz w:val="22"/>
        </w:rPr>
        <w:t>Model ve değerlendirme</w:t>
      </w:r>
    </w:p>
    <w:p>
      <w:pPr>
        <w:spacing w:after="60" w:line="252" w:lineRule="auto"/>
      </w:pPr>
      <w:r>
        <w:rPr>
          <w:rFonts w:ascii="Arial" w:hAnsi="Arial"/>
          <w:b w:val="0"/>
          <w:i w:val="0"/>
          <w:color w:val="000000"/>
          <w:sz w:val="18"/>
        </w:rPr>
        <w:t>Kategorik alanlar one hot encoding ile dönüştürüldü ve Linear Regression eğitildi. Verinin ilk yüzde 80'i eğitim, son yüzde 20'si test için ayrıldı. Zaman sırası karıştırılmadı.</w:t>
      </w:r>
    </w:p>
    <w:tbl>
      <w:tblPr>
        <w:tblW w:type="auto" w:w="0"/>
        <w:jc w:val="center"/>
        <w:tblLayout w:type="fixed"/>
        <w:tblLook w:firstColumn="1" w:firstRow="1" w:lastColumn="0" w:lastRow="0" w:noHBand="0" w:noVBand="1" w:val="04A0"/>
        <w:tblBorders>
          <w:top w:val="single" w:sz="4" w:color="D9E2E8"/>
          <w:left w:val="single" w:sz="4" w:color="D9E2E8"/>
          <w:bottom w:val="single" w:sz="4" w:color="D9E2E8"/>
          <w:right w:val="single" w:sz="4" w:color="D9E2E8"/>
          <w:insideH w:val="single" w:sz="4" w:color="D9E2E8"/>
          <w:insideV w:val="single" w:sz="4" w:color="D9E2E8"/>
        </w:tblBorders>
      </w:tblPr>
      <w:tblGrid>
        <w:gridCol w:w="2613"/>
        <w:gridCol w:w="2613"/>
        <w:gridCol w:w="2613"/>
        <w:gridCol w:w="2613"/>
      </w:tblGrid>
      <w:tr>
        <w:tc>
          <w:tcPr>
            <w:tcW w:type="dxa" w:w="2232"/>
            <w:tcMar>
              <w:top w:w="80" w:type="dxa"/>
              <w:start w:w="100" w:type="dxa"/>
              <w:bottom w:w="80" w:type="dxa"/>
              <w:end w:w="100" w:type="dxa"/>
            </w:tcMar>
            <w:shd w:fill="17324D"/>
            <w:vAlign w:val="center"/>
          </w:tcPr>
          <w:p>
            <w:pPr>
              <w:spacing w:after="0"/>
              <w:jc w:val="center"/>
            </w:pPr>
            <w:r>
              <w:rPr>
                <w:rFonts w:ascii="Arial" w:hAnsi="Arial"/>
                <w:b/>
                <w:i w:val="0"/>
                <w:color w:val="FFFFFF"/>
                <w:sz w:val="18"/>
              </w:rPr>
              <w:t>R²</w:t>
            </w:r>
          </w:p>
        </w:tc>
        <w:tc>
          <w:tcPr>
            <w:tcW w:type="dxa" w:w="2232"/>
            <w:tcMar>
              <w:top w:w="80" w:type="dxa"/>
              <w:start w:w="100" w:type="dxa"/>
              <w:bottom w:w="80" w:type="dxa"/>
              <w:end w:w="100" w:type="dxa"/>
            </w:tcMar>
            <w:shd w:fill="17324D"/>
            <w:vAlign w:val="center"/>
          </w:tcPr>
          <w:p>
            <w:pPr>
              <w:spacing w:after="0"/>
              <w:jc w:val="center"/>
            </w:pPr>
            <w:r>
              <w:rPr>
                <w:rFonts w:ascii="Arial" w:hAnsi="Arial"/>
                <w:b/>
                <w:i w:val="0"/>
                <w:color w:val="FFFFFF"/>
                <w:sz w:val="18"/>
              </w:rPr>
              <w:t>MAE</w:t>
            </w:r>
          </w:p>
        </w:tc>
        <w:tc>
          <w:tcPr>
            <w:tcW w:type="dxa" w:w="2232"/>
            <w:tcMar>
              <w:top w:w="80" w:type="dxa"/>
              <w:start w:w="100" w:type="dxa"/>
              <w:bottom w:w="80" w:type="dxa"/>
              <w:end w:w="100" w:type="dxa"/>
            </w:tcMar>
            <w:shd w:fill="17324D"/>
            <w:vAlign w:val="center"/>
          </w:tcPr>
          <w:p>
            <w:pPr>
              <w:spacing w:after="0"/>
              <w:jc w:val="center"/>
            </w:pPr>
            <w:r>
              <w:rPr>
                <w:rFonts w:ascii="Arial" w:hAnsi="Arial"/>
                <w:b/>
                <w:i w:val="0"/>
                <w:color w:val="FFFFFF"/>
                <w:sz w:val="18"/>
              </w:rPr>
              <w:t>RMSE</w:t>
            </w:r>
          </w:p>
        </w:tc>
        <w:tc>
          <w:tcPr>
            <w:tcW w:type="dxa" w:w="2520"/>
            <w:tcMar>
              <w:top w:w="80" w:type="dxa"/>
              <w:start w:w="100" w:type="dxa"/>
              <w:bottom w:w="80" w:type="dxa"/>
              <w:end w:w="100" w:type="dxa"/>
            </w:tcMar>
            <w:shd w:fill="17324D"/>
            <w:vAlign w:val="center"/>
          </w:tcPr>
          <w:p>
            <w:pPr>
              <w:spacing w:after="0"/>
              <w:jc w:val="center"/>
            </w:pPr>
            <w:r>
              <w:rPr>
                <w:rFonts w:ascii="Arial" w:hAnsi="Arial"/>
                <w:b/>
                <w:i w:val="0"/>
                <w:color w:val="FFFFFF"/>
                <w:sz w:val="18"/>
              </w:rPr>
              <w:t>Temel MAE</w:t>
            </w:r>
          </w:p>
        </w:tc>
      </w:tr>
      <w:tr>
        <w:tc>
          <w:tcPr>
            <w:tcW w:type="dxa" w:w="2232"/>
            <w:tcMar>
              <w:top w:w="80" w:type="dxa"/>
              <w:start w:w="100" w:type="dxa"/>
              <w:bottom w:w="80" w:type="dxa"/>
              <w:end w:w="100" w:type="dxa"/>
            </w:tcMar>
            <w:shd w:fill="EAF3F7"/>
            <w:vAlign w:val="center"/>
          </w:tcPr>
          <w:p>
            <w:pPr>
              <w:spacing w:after="0"/>
              <w:jc w:val="center"/>
            </w:pPr>
            <w:r>
              <w:rPr>
                <w:rFonts w:ascii="Arial" w:hAnsi="Arial"/>
                <w:b/>
                <w:i w:val="0"/>
                <w:color w:val="17324D"/>
                <w:sz w:val="18"/>
              </w:rPr>
              <w:t>0,578</w:t>
            </w:r>
          </w:p>
        </w:tc>
        <w:tc>
          <w:tcPr>
            <w:tcW w:type="dxa" w:w="2232"/>
            <w:tcMar>
              <w:top w:w="80" w:type="dxa"/>
              <w:start w:w="100" w:type="dxa"/>
              <w:bottom w:w="80" w:type="dxa"/>
              <w:end w:w="100" w:type="dxa"/>
            </w:tcMar>
            <w:shd w:fill="EAF3F7"/>
            <w:vAlign w:val="center"/>
          </w:tcPr>
          <w:p>
            <w:pPr>
              <w:spacing w:after="0"/>
              <w:jc w:val="center"/>
            </w:pPr>
            <w:r>
              <w:rPr>
                <w:rFonts w:ascii="Arial" w:hAnsi="Arial"/>
                <w:b/>
                <w:i w:val="0"/>
                <w:color w:val="17324D"/>
                <w:sz w:val="18"/>
              </w:rPr>
              <w:t>234,3</w:t>
            </w:r>
          </w:p>
        </w:tc>
        <w:tc>
          <w:tcPr>
            <w:tcW w:type="dxa" w:w="2232"/>
            <w:tcMar>
              <w:top w:w="80" w:type="dxa"/>
              <w:start w:w="100" w:type="dxa"/>
              <w:bottom w:w="80" w:type="dxa"/>
              <w:end w:w="100" w:type="dxa"/>
            </w:tcMar>
            <w:shd w:fill="EAF3F7"/>
            <w:vAlign w:val="center"/>
          </w:tcPr>
          <w:p>
            <w:pPr>
              <w:spacing w:after="0"/>
              <w:jc w:val="center"/>
            </w:pPr>
            <w:r>
              <w:rPr>
                <w:rFonts w:ascii="Arial" w:hAnsi="Arial"/>
                <w:b/>
                <w:i w:val="0"/>
                <w:color w:val="17324D"/>
                <w:sz w:val="18"/>
              </w:rPr>
              <w:t>315,2</w:t>
            </w:r>
          </w:p>
        </w:tc>
        <w:tc>
          <w:tcPr>
            <w:tcW w:type="dxa" w:w="2520"/>
            <w:tcMar>
              <w:top w:w="80" w:type="dxa"/>
              <w:start w:w="100" w:type="dxa"/>
              <w:bottom w:w="80" w:type="dxa"/>
              <w:end w:w="100" w:type="dxa"/>
            </w:tcMar>
            <w:shd w:fill="EAF3F7"/>
            <w:vAlign w:val="center"/>
          </w:tcPr>
          <w:p>
            <w:pPr>
              <w:spacing w:after="0"/>
              <w:jc w:val="center"/>
            </w:pPr>
            <w:r>
              <w:rPr>
                <w:rFonts w:ascii="Arial" w:hAnsi="Arial"/>
                <w:b/>
                <w:i w:val="0"/>
                <w:color w:val="17324D"/>
                <w:sz w:val="18"/>
              </w:rPr>
              <w:t>476,8</w:t>
            </w:r>
          </w:p>
        </w:tc>
      </w:tr>
    </w:tbl>
    <w:p>
      <w:pPr>
        <w:spacing w:before="40" w:after="20"/>
        <w:jc w:val="center"/>
      </w:pPr>
      <w:r>
        <w:rPr>
          <w:rFonts w:ascii="Arial" w:hAnsi="Arial"/>
          <w:b/>
          <w:i w:val="0"/>
          <w:color w:val="526777"/>
          <w:sz w:val="17"/>
        </w:rPr>
        <w:t>Saatlere göre ortalama talep</w:t>
      </w:r>
    </w:p>
    <w:p>
      <w:pPr>
        <w:spacing w:after="40"/>
        <w:jc w:val="center"/>
      </w:pPr>
      <w:r>
        <w:drawing>
          <wp:inline xmlns:a="http://schemas.openxmlformats.org/drawingml/2006/main" xmlns:pic="http://schemas.openxmlformats.org/drawingml/2006/picture">
            <wp:extent cx="5349240" cy="2852928"/>
            <wp:docPr id="1" name="Picture 1"/>
            <wp:cNvGraphicFramePr>
              <a:graphicFrameLocks noChangeAspect="1"/>
            </wp:cNvGraphicFramePr>
            <a:graphic>
              <a:graphicData uri="http://schemas.openxmlformats.org/drawingml/2006/picture">
                <pic:pic>
                  <pic:nvPicPr>
                    <pic:cNvPr id="0" name="01_saatlik_talep.png"/>
                    <pic:cNvPicPr/>
                  </pic:nvPicPr>
                  <pic:blipFill>
                    <a:blip r:embed="rId9"/>
                    <a:stretch>
                      <a:fillRect/>
                    </a:stretch>
                  </pic:blipFill>
                  <pic:spPr>
                    <a:xfrm>
                      <a:off x="0" y="0"/>
                      <a:ext cx="5349240" cy="2852928"/>
                    </a:xfrm>
                    <a:prstGeom prst="rect"/>
                  </pic:spPr>
                </pic:pic>
              </a:graphicData>
            </a:graphic>
          </wp:inline>
        </w:drawing>
      </w:r>
    </w:p>
    <w:p>
      <w:pPr>
        <w:pStyle w:val="Heading1"/>
        <w:keepNext/>
        <w:spacing w:before="100" w:after="40"/>
      </w:pPr>
      <w:r>
        <w:rPr>
          <w:rFonts w:ascii="Arial" w:hAnsi="Arial"/>
          <w:b/>
          <w:i w:val="0"/>
          <w:color w:val="000000"/>
          <w:sz w:val="22"/>
        </w:rPr>
        <w:t>Bulgular ve sınırlılıklar</w:t>
      </w:r>
    </w:p>
    <w:p>
      <w:pPr>
        <w:pStyle w:val="ListBullet"/>
        <w:spacing w:after="20"/>
        <w:ind w:left="288" w:hanging="173"/>
      </w:pPr>
      <w:r>
        <w:rPr>
          <w:rFonts w:ascii="Arial" w:hAnsi="Arial"/>
          <w:b w:val="0"/>
          <w:i w:val="0"/>
          <w:color w:val="000000"/>
          <w:sz w:val="17"/>
        </w:rPr>
        <w:t>Ortalama talep saat 17.00'de 1.810 yolculukla en yüksek düzeye ulaştı.</w:t>
      </w:r>
    </w:p>
    <w:p>
      <w:pPr>
        <w:pStyle w:val="ListBullet"/>
        <w:spacing w:after="20"/>
        <w:ind w:left="288" w:hanging="173"/>
      </w:pPr>
      <w:r>
        <w:rPr>
          <w:rFonts w:ascii="Arial" w:hAnsi="Arial"/>
          <w:b w:val="0"/>
          <w:i w:val="0"/>
          <w:color w:val="000000"/>
          <w:sz w:val="17"/>
        </w:rPr>
        <w:t>Haziran ayı saatlik ortalaması 960 ile yılın en yüksek aylık düzeyine çıktı.</w:t>
      </w:r>
    </w:p>
    <w:p>
      <w:pPr>
        <w:pStyle w:val="ListBullet"/>
        <w:spacing w:after="20"/>
        <w:ind w:left="288" w:hanging="173"/>
      </w:pPr>
      <w:r>
        <w:rPr>
          <w:rFonts w:ascii="Arial" w:hAnsi="Arial"/>
          <w:b w:val="0"/>
          <w:i w:val="0"/>
          <w:color w:val="000000"/>
          <w:sz w:val="17"/>
        </w:rPr>
        <w:t>Model, temel yaklaşımın ortalama mutlak hatasını yüzde 50,9 azalttı.</w:t>
      </w:r>
    </w:p>
    <w:p>
      <w:pPr>
        <w:pStyle w:val="ListBullet"/>
        <w:spacing w:after="20"/>
        <w:ind w:left="288" w:hanging="173"/>
      </w:pPr>
      <w:r>
        <w:rPr>
          <w:rFonts w:ascii="Arial" w:hAnsi="Arial"/>
          <w:b w:val="0"/>
          <w:i w:val="0"/>
          <w:color w:val="000000"/>
          <w:sz w:val="17"/>
        </w:rPr>
        <w:t>İstasyon konumu, kapasite, etkinlik ve toplu taşıma kesintisi verileri modelde bulunmuyor.</w:t>
      </w:r>
    </w:p>
    <w:p>
      <w:pPr>
        <w:spacing w:before="60" w:after="0"/>
      </w:pPr>
      <w:r>
        <w:rPr>
          <w:rFonts w:ascii="Arial" w:hAnsi="Arial"/>
          <w:b w:val="0"/>
          <w:i w:val="0"/>
          <w:color w:val="526777"/>
          <w:sz w:val="15"/>
        </w:rPr>
        <w:t>Kaynaklar: Capital Bikeshare System Data, 2025; Open-Meteo Historical Weather API. Capital Bikeshare veri kullanım koşulları ve Open-Meteo CC BY 4.0 lisansı geçerlidir.</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Şehrin Nabzı Saatlik Bisiklet Paylaşım Talebi Tahmini</dc:title>
  <dc:subject>Basitleştirilmiş Python Eğitimi Final Projesi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