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0"/>
      </w:pPr>
      <w:r>
        <w:rPr>
          <w:rFonts w:ascii="Arial" w:hAnsi="Arial"/>
          <w:b/>
          <w:i w:val="0"/>
          <w:color w:val="000000"/>
          <w:sz w:val="50"/>
        </w:rPr>
        <w:t>Şehrin Nabzı</w:t>
      </w:r>
    </w:p>
    <w:p>
      <w:pPr>
        <w:keepNext/>
        <w:spacing w:after="20"/>
      </w:pPr>
      <w:r>
        <w:rPr>
          <w:rFonts w:ascii="Arial" w:hAnsi="Arial"/>
          <w:b/>
          <w:i w:val="0"/>
          <w:color w:val="000000"/>
          <w:sz w:val="29"/>
        </w:rPr>
        <w:t>Saatlik Bisiklet Paylaşım Talebi Tahmini</w:t>
      </w:r>
    </w:p>
    <w:p>
      <w:pPr>
        <w:spacing w:after="100"/>
      </w:pPr>
      <w:r>
        <w:rPr>
          <w:rFonts w:ascii="Arial" w:hAnsi="Arial"/>
          <w:b w:val="0"/>
          <w:i w:val="0"/>
          <w:color w:val="526777"/>
          <w:sz w:val="18"/>
        </w:rPr>
        <w:t>Basitleştirilmiş Python Eğitimi Final Projesi</w:t>
      </w:r>
    </w:p>
    <w:p>
      <w:pPr>
        <w:spacing w:after="100" w:line="252" w:lineRule="auto"/>
      </w:pPr>
      <w:r>
        <w:rPr>
          <w:rFonts w:ascii="Arial" w:hAnsi="Arial"/>
          <w:b w:val="0"/>
          <w:i w:val="0"/>
          <w:color w:val="000000"/>
          <w:sz w:val="19"/>
        </w:rPr>
        <w:t>Model, 2025 verisinin zaman sıralı test bölümünde 0,578 R² ve 234,3 MAE elde etti. Temel yaklaşımın 476,8 olan MAE değerini yüzde 50,9 azaltarak talep planlaması için kullanılabilecek bir başlangıç sinyali üretti.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7324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Problem türü</w:t>
            </w:r>
          </w:p>
        </w:tc>
        <w:tc>
          <w:tcPr>
            <w:tcW w:type="dxa" w:w="5400"/>
            <w:shd w:fill="17324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Hedef değişken</w:t>
            </w:r>
          </w:p>
        </w:tc>
        <w:tc>
          <w:tcPr>
            <w:tcW w:type="dxa" w:w="2520"/>
            <w:shd w:fill="17324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 dönemi</w:t>
            </w:r>
          </w:p>
        </w:tc>
      </w:tr>
      <w:tr>
        <w:tc>
          <w:tcPr>
            <w:tcW w:type="dxa" w:w="1944"/>
            <w:shd w:fill="EAF3F7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7"/>
              </w:rPr>
              <w:t>Regresyon</w:t>
            </w:r>
          </w:p>
        </w:tc>
        <w:tc>
          <w:tcPr>
            <w:tcW w:type="dxa" w:w="54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7"/>
              </w:rPr>
              <w:t>Saatlik yolculuk başlangıcı</w:t>
            </w:r>
          </w:p>
        </w:tc>
        <w:tc>
          <w:tcPr>
            <w:tcW w:type="dxa" w:w="2520"/>
            <w:shd w:fill="EAF3F7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7"/>
              </w:rPr>
              <w:t>Ocak Aralık 2025</w:t>
            </w:r>
          </w:p>
        </w:tc>
      </w:tr>
    </w:tbl>
    <w:p>
      <w:pPr>
        <w:pStyle w:val="Heading1"/>
        <w:keepNext/>
        <w:spacing w:before="120" w:after="40"/>
      </w:pPr>
      <w:r>
        <w:rPr>
          <w:rFonts w:ascii="Arial" w:hAnsi="Arial"/>
          <w:b/>
          <w:i w:val="0"/>
          <w:color w:val="000000"/>
          <w:sz w:val="23"/>
        </w:rPr>
        <w:t>Problem ve kapsam</w:t>
      </w:r>
    </w:p>
    <w:p>
      <w:pPr>
        <w:spacing w:after="6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>Proje, takvim ve hava koşullarından Washington D.C. Capital Bikeshare sisteminin saatlik yolculuk başlangıcı sayısının tahmin edilip edilemeyeceğini inceler. Tahminler, bisiklet dağıtımı ve yoğun saat hazırlığı için operasyon ekiplerine destek olabilir.</w:t>
      </w:r>
    </w:p>
    <w:p>
      <w:pPr>
        <w:pStyle w:val="Heading1"/>
        <w:keepNext/>
        <w:spacing w:before="120" w:after="40"/>
      </w:pPr>
      <w:r>
        <w:rPr>
          <w:rFonts w:ascii="Arial" w:hAnsi="Arial"/>
          <w:b/>
          <w:i w:val="0"/>
          <w:color w:val="000000"/>
          <w:sz w:val="23"/>
        </w:rPr>
        <w:t>Veri ve hazırlık</w:t>
      </w:r>
    </w:p>
    <w:p>
      <w:pPr>
        <w:spacing w:after="6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>Capital Bikeshare tarafından yayımlanan 6.662.611 yolculuk saatlik toplamlar hâline getirildi ve Open-Meteo hava verisiyle birleştirildi. İşlenmiş veri 8.760 saat ve 15 sütun içerir; eksik değer yoktur. Kimlik, kullanıcı türü ve istasyon alanları modele alınmadı.</w:t>
      </w:r>
    </w:p>
    <w:p>
      <w:pPr>
        <w:pStyle w:val="Heading1"/>
        <w:keepNext/>
        <w:spacing w:before="120" w:after="40"/>
      </w:pPr>
      <w:r>
        <w:rPr>
          <w:rFonts w:ascii="Arial" w:hAnsi="Arial"/>
          <w:b/>
          <w:i w:val="0"/>
          <w:color w:val="000000"/>
          <w:sz w:val="23"/>
        </w:rPr>
        <w:t>Yöntem ve değerlendirme</w:t>
      </w:r>
    </w:p>
    <w:p>
      <w:pPr>
        <w:spacing w:after="6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>Kategorik alanlar one hot encoding ile dönüştürüldü. Yorumlanabilir ve başlangıç seviyesi için uygun olduğu için Linear Regression seçildi. İlk 7.008 saat eğitim, son 1.752 saat test için kullanıldı; zaman sırası karıştırılmadı.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 R²</w:t>
            </w:r>
          </w:p>
        </w:tc>
        <w:tc>
          <w:tcPr>
            <w:tcW w:type="dxa" w:w="2232"/>
            <w:shd w:fill="17324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 MAE</w:t>
            </w:r>
          </w:p>
        </w:tc>
        <w:tc>
          <w:tcPr>
            <w:tcW w:type="dxa" w:w="2232"/>
            <w:shd w:fill="17324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 RMSE</w:t>
            </w:r>
          </w:p>
        </w:tc>
        <w:tc>
          <w:tcPr>
            <w:tcW w:type="dxa" w:w="2520"/>
            <w:shd w:fill="17324D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Temel MAE</w:t>
            </w:r>
          </w:p>
        </w:tc>
      </w:tr>
      <w:tr>
        <w:tc>
          <w:tcPr>
            <w:tcW w:type="dxa" w:w="2232"/>
            <w:shd w:fill="EAF3F7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8"/>
              </w:rPr>
              <w:t>0,578</w:t>
            </w:r>
          </w:p>
        </w:tc>
        <w:tc>
          <w:tcPr>
            <w:tcW w:type="dxa" w:w="2232"/>
            <w:shd w:fill="F5F7F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8"/>
              </w:rPr>
              <w:t>234,3</w:t>
            </w:r>
          </w:p>
        </w:tc>
        <w:tc>
          <w:tcPr>
            <w:tcW w:type="dxa" w:w="2232"/>
            <w:shd w:fill="EAF3F7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8"/>
              </w:rPr>
              <w:t>315,2</w:t>
            </w:r>
          </w:p>
        </w:tc>
        <w:tc>
          <w:tcPr>
            <w:tcW w:type="dxa" w:w="2520"/>
            <w:shd w:fill="F5F7F9"/>
            <w:tcMar>
              <w:top w:w="90" w:type="dxa"/>
              <w:start w:w="115" w:type="dxa"/>
              <w:bottom w:w="90" w:type="dxa"/>
              <w:end w:w="11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8"/>
              </w:rPr>
              <w:t>476,8</w:t>
            </w:r>
          </w:p>
        </w:tc>
      </w:tr>
    </w:tbl>
    <w:p>
      <w:pPr>
        <w:keepNext/>
        <w:spacing w:before="60" w:after="20"/>
        <w:jc w:val="center"/>
      </w:pPr>
      <w:r>
        <w:rPr>
          <w:rFonts w:ascii="Arial" w:hAnsi="Arial"/>
          <w:b/>
          <w:i w:val="0"/>
          <w:color w:val="526777"/>
          <w:sz w:val="16"/>
        </w:rPr>
        <w:t>Şekil 1  Saatlere göre ortalama bisiklet talebi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09160" cy="2511552"/>
            <wp:docPr id="1" name="Picture 1" title="Saatlere göre ortalama bisiklet talebi" descr="Saatlik ortalama talebin sabah 08.00 ve akşam 17.00 zirvelerini gösteren çizgi grafi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aatlik_tal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511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20" w:after="40"/>
      </w:pPr>
      <w:r>
        <w:rPr>
          <w:rFonts w:ascii="Arial" w:hAnsi="Arial"/>
          <w:b/>
          <w:i w:val="0"/>
          <w:color w:val="000000"/>
          <w:sz w:val="23"/>
        </w:rPr>
        <w:t>Bulgular ve sınırlılıklar</w:t>
      </w:r>
    </w:p>
    <w:p>
      <w:pPr>
        <w:pStyle w:val="ListBullet"/>
        <w:spacing w:after="20" w:line="24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Talep saat 17.00'de ortalama 1.810 yolculukla en yüksek düzeye çıktı; Haziran saatlik ortalaması 960 oldu.</w:t>
      </w:r>
    </w:p>
    <w:p>
      <w:pPr>
        <w:pStyle w:val="ListBullet"/>
        <w:spacing w:after="20" w:line="24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Sıcaklık ile talep arasında 0,478, nem ile talep arasında -0,426 düzeyinde ilişki görüldü; bu ilişkiler nedensellik kanıtı değildir.</w:t>
      </w:r>
    </w:p>
    <w:p>
      <w:pPr>
        <w:pStyle w:val="ListBullet"/>
        <w:spacing w:after="20" w:line="240" w:lineRule="auto"/>
        <w:ind w:left="288" w:hanging="173"/>
      </w:pPr>
      <w:r>
        <w:rPr>
          <w:rFonts w:ascii="Arial" w:hAnsi="Arial"/>
          <w:b w:val="0"/>
          <w:i w:val="0"/>
          <w:color w:val="000000"/>
          <w:sz w:val="16"/>
        </w:rPr>
        <w:t>Model istasyon konumu, kapasite, özel etkinlik ve ulaşım kesintisi verilerini kullanmıyor; farklı şehirlerde yeniden ölçülmelidir.</w:t>
      </w:r>
    </w:p>
    <w:p>
      <w:pPr>
        <w:spacing w:before="60" w:after="0"/>
      </w:pPr>
      <w:r>
        <w:rPr>
          <w:rFonts w:ascii="Arial" w:hAnsi="Arial"/>
          <w:b w:val="0"/>
          <w:i w:val="0"/>
          <w:color w:val="526777"/>
          <w:sz w:val="15"/>
        </w:rPr>
        <w:t>Kaynaklar  Capital Bikeshare System Data 2025 ve Open-Meteo Historical Weather API. Capital Bikeshare veri kullanım koşulları ve Open-Meteo CC BY 4.0 lisansı geçerlidir.</w:t>
      </w:r>
    </w:p>
    <w:sectPr w:rsidR="00FC693F" w:rsidRPr="0006063C" w:rsidSect="00034616">
      <w:pgSz w:w="12240" w:h="15840"/>
      <w:pgMar w:top="691" w:right="979" w:bottom="64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Şehrin Nabzı Saatlik Bisiklet Paylaşım Talebi Tahmini</dc:title>
  <dc:subject>Basitleştirilmiş Python Eğitimi Final Projesi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