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Arial" w:hAnsi="Arial"/>
          <w:b/>
          <w:color w:val="000000"/>
          <w:sz w:val="52"/>
        </w:rPr>
        <w:t>Sıfırİz Marka Stratejisi</w:t>
      </w:r>
    </w:p>
    <w:p>
      <w:pPr>
        <w:spacing w:after="180"/>
      </w:pPr>
      <w:r>
        <w:rPr>
          <w:rFonts w:ascii="Arial" w:hAnsi="Arial"/>
          <w:b/>
          <w:color w:val="5E6E68"/>
          <w:sz w:val="20"/>
        </w:rPr>
        <w:t>Atıksız şehir yaşamı içerik markası  |  Final proje özeti</w:t>
      </w:r>
    </w:p>
    <w:p>
      <w:pPr>
        <w:keepNext w:val="0"/>
        <w:spacing w:before="0" w:after="140" w:line="269" w:lineRule="auto"/>
      </w:pPr>
      <w:r>
        <w:rPr>
          <w:rFonts w:ascii="Arial" w:hAnsi="Arial"/>
          <w:b w:val="0"/>
          <w:color w:val="000000"/>
          <w:sz w:val="20"/>
        </w:rPr>
        <w:t>Sıfırİz, şehirde yaşayan kişilere atık azaltma ve yeniden kullanım alışkanlıkları kazandıran kurgusal bir dijital içerik markasıdır. Marka, büyük yaşam tarzı vaatleri yerine aynı gün denenebilecek küçük davranışlar önerir. Temel sonuç şudur: sürdürülebilir seçim, kullanıcıya suçluluk yüklediğinde değil; doğru anda açık ve erişilebilir hale geldiğinde tekrarlanır.</w:t>
      </w:r>
    </w:p>
    <w:p>
      <w:pPr>
        <w:pStyle w:val="Heading1"/>
        <w:keepNext/>
        <w:spacing w:before="160" w:after="80"/>
      </w:pPr>
      <w:r>
        <w:rPr>
          <w:rFonts w:ascii="Arial" w:hAnsi="Arial"/>
          <w:b/>
          <w:color w:val="000000"/>
          <w:sz w:val="28"/>
        </w:rPr>
        <w:t>Marka Konumlandırması</w:t>
      </w:r>
    </w:p>
    <w:p>
      <w:pPr>
        <w:keepNext w:val="0"/>
        <w:spacing w:before="0" w:after="100" w:line="269" w:lineRule="auto"/>
      </w:pPr>
      <w:r>
        <w:rPr>
          <w:rFonts w:ascii="Arial" w:hAnsi="Arial"/>
          <w:b w:val="0"/>
          <w:color w:val="000000"/>
          <w:sz w:val="18"/>
        </w:rPr>
        <w:t>Sıfırİz; kurumsal atık yönetimi bilgisini kopyalamaz. Bu bilgiyi ev, mahalle ve paylaşım döngüsünde uygulanabilir mikro görevlere çevirir. Marka bir belediye hizmeti veya ürün pazaryeri değil, davranış odaklı bir içerik rehberidir.</w:t>
      </w:r>
    </w:p>
    <w:tbl>
      <w:tblPr>
        <w:tblW w:type="auto" w:w="0"/>
        <w:jc w:val="center"/>
        <w:tblLayout w:type="fixed"/>
        <w:tblLook w:firstColumn="1" w:firstRow="1" w:lastColumn="0" w:lastRow="0" w:noHBand="0" w:noVBand="1" w:val="04A0"/>
      </w:tblPr>
      <w:tblGrid>
        <w:gridCol w:w="1843"/>
        <w:gridCol w:w="7992"/>
      </w:tblGrid>
      <w:tr>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6"/>
              </w:rPr>
              <w:t>Çerçeve</w:t>
            </w:r>
          </w:p>
        </w:tc>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6"/>
              </w:rPr>
              <w:t>Tanım</w:t>
            </w:r>
          </w:p>
        </w:tc>
      </w:tr>
      <w:tr>
        <w:tc>
          <w:tcPr>
            <w:tcW w:type="dxa" w:w="184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6"/>
              </w:rPr>
              <w:t>Neden</w:t>
            </w:r>
          </w:p>
        </w:tc>
        <w:tc>
          <w:tcPr>
            <w:tcW w:type="dxa" w:w="79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6"/>
              </w:rPr>
              <w:t>Şehir yaşamında sürdürülebilir seçimi anlaşılır ve tekrarlanabilir hale getirmek.</w:t>
            </w:r>
          </w:p>
        </w:tc>
      </w:tr>
      <w:tr>
        <w:tc>
          <w:tcPr>
            <w:tcW w:type="dxa" w:w="184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6"/>
              </w:rPr>
              <w:t>Kime</w:t>
            </w:r>
          </w:p>
        </w:tc>
        <w:tc>
          <w:tcPr>
            <w:tcW w:type="dxa" w:w="79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6"/>
              </w:rPr>
              <w:t>22–38 yaşında, kentte yaşayan, çevreye duyarlı fakat zaman ve bilgi yükü hisseden dijital kullanıcılara.</w:t>
            </w:r>
          </w:p>
        </w:tc>
      </w:tr>
      <w:tr>
        <w:tc>
          <w:tcPr>
            <w:tcW w:type="dxa" w:w="184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6"/>
              </w:rPr>
              <w:t>Ne</w:t>
            </w:r>
          </w:p>
        </w:tc>
        <w:tc>
          <w:tcPr>
            <w:tcW w:type="dxa" w:w="79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6"/>
              </w:rPr>
              <w:t>Kısa rehberler, haftalık mikro görevler, kaynaklı açıklamalar ve paylaşılabilir örnekler.</w:t>
            </w:r>
          </w:p>
        </w:tc>
      </w:tr>
      <w:tr>
        <w:tc>
          <w:tcPr>
            <w:tcW w:type="dxa" w:w="184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6"/>
              </w:rPr>
              <w:t>Nasıl</w:t>
            </w:r>
          </w:p>
        </w:tc>
        <w:tc>
          <w:tcPr>
            <w:tcW w:type="dxa" w:w="7992"/>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6"/>
              </w:rPr>
              <w:t>Yargılamayan dil, tek eylemli çağrılar, gerçek ev/mahalle sahneleri ve insan onaylı içerik akışı.</w:t>
            </w:r>
          </w:p>
        </w:tc>
      </w:tr>
    </w:tbl>
    <w:p>
      <w:pPr>
        <w:pStyle w:val="Heading1"/>
        <w:keepNext/>
        <w:spacing w:before="160" w:after="80"/>
      </w:pPr>
      <w:r>
        <w:rPr>
          <w:rFonts w:ascii="Arial" w:hAnsi="Arial"/>
          <w:b/>
          <w:color w:val="000000"/>
          <w:sz w:val="28"/>
        </w:rPr>
        <w:t>Kimlik ve Görsel Dil</w:t>
      </w:r>
    </w:p>
    <w:tbl>
      <w:tblPr>
        <w:tblW w:type="auto" w:w="0"/>
        <w:tblLook w:firstColumn="1" w:firstRow="1" w:lastColumn="0" w:lastRow="0" w:noHBand="0" w:noVBand="1" w:val="04A0"/>
      </w:tblPr>
      <w:tblGrid>
        <w:gridCol w:w="2002"/>
        <w:gridCol w:w="2002"/>
        <w:gridCol w:w="2002"/>
        <w:gridCol w:w="2002"/>
        <w:gridCol w:w="2002"/>
      </w:tblGrid>
      <w:tr>
        <w:tc>
          <w:tcPr>
            <w:tcW w:type="dxa" w:w="2002"/>
            <w:shd w:fill="173F3A"/>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Orman</w:t>
            </w:r>
          </w:p>
        </w:tc>
        <w:tc>
          <w:tcPr>
            <w:tcW w:type="dxa" w:w="2002"/>
            <w:shd w:fill="A7C4A0"/>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Adaçayı</w:t>
            </w:r>
          </w:p>
        </w:tc>
        <w:tc>
          <w:tcPr>
            <w:tcW w:type="dxa" w:w="2002"/>
            <w:shd w:fill="E76F51"/>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Kayısı</w:t>
            </w:r>
          </w:p>
        </w:tc>
        <w:tc>
          <w:tcPr>
            <w:tcW w:type="dxa" w:w="2002"/>
            <w:shd w:fill="F5F0E6"/>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Kâğıt</w:t>
            </w:r>
          </w:p>
        </w:tc>
        <w:tc>
          <w:tcPr>
            <w:tcW w:type="dxa" w:w="2002"/>
            <w:shd w:fill="20332E"/>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Kömür</w:t>
            </w:r>
          </w:p>
        </w:tc>
      </w:tr>
      <w:tr>
        <w:tc>
          <w:tcPr>
            <w:tcW w:type="dxa" w:w="2002"/>
            <w:shd w:fill="FFFFFF"/>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#173F3A</w:t>
            </w:r>
          </w:p>
        </w:tc>
        <w:tc>
          <w:tcPr>
            <w:tcW w:type="dxa" w:w="2002"/>
            <w:shd w:fill="FFFFFF"/>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#A7C4A0</w:t>
            </w:r>
          </w:p>
        </w:tc>
        <w:tc>
          <w:tcPr>
            <w:tcW w:type="dxa" w:w="2002"/>
            <w:shd w:fill="FFFFFF"/>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#E76F51</w:t>
            </w:r>
          </w:p>
        </w:tc>
        <w:tc>
          <w:tcPr>
            <w:tcW w:type="dxa" w:w="2002"/>
            <w:shd w:fill="FFFFFF"/>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#F5F0E6</w:t>
            </w:r>
          </w:p>
        </w:tc>
        <w:tc>
          <w:tcPr>
            <w:tcW w:type="dxa" w:w="2002"/>
            <w:shd w:fill="FFFFFF"/>
            <w:tcBorders>
              <w:top w:val="single" w:sz="5" w:color="D9D9D9"/>
              <w:left w:val="single" w:sz="5" w:color="D9D9D9"/>
              <w:bottom w:val="single" w:sz="5" w:color="D9D9D9"/>
              <w:right w:val="single" w:sz="5" w:color="D9D9D9"/>
              <w:insideH w:val="single" w:sz="5" w:color="D9D9D9"/>
              <w:insideV w:val="single" w:sz="5" w:color="D9D9D9"/>
            </w:tcBorders>
            <w:tcMar>
              <w:top w:w="90" w:type="dxa"/>
              <w:start w:w="80" w:type="dxa"/>
              <w:bottom w:w="90" w:type="dxa"/>
              <w:end w:w="80" w:type="dxa"/>
            </w:tcMar>
            <w:vAlign w:val="center"/>
          </w:tcPr>
          <w:p>
            <w:pPr>
              <w:jc w:val="center"/>
            </w:pPr>
            <w:r>
              <w:rPr>
                <w:rFonts w:ascii="Arial" w:hAnsi="Arial"/>
                <w:b/>
                <w:color w:val="000000"/>
                <w:sz w:val="16"/>
              </w:rPr>
              <w:t>#20332E</w:t>
            </w:r>
          </w:p>
        </w:tc>
      </w:tr>
    </w:tbl>
    <w:p>
      <w:pPr>
        <w:keepNext w:val="0"/>
        <w:spacing w:before="80" w:after="100" w:line="269" w:lineRule="auto"/>
      </w:pPr>
      <w:r>
        <w:rPr>
          <w:rFonts w:ascii="Arial" w:hAnsi="Arial"/>
          <w:b w:val="0"/>
          <w:color w:val="000000"/>
          <w:sz w:val="18"/>
        </w:rPr>
        <w:t>Görsel dil; doğal ışık, gündelik nesneler, geri dönüştürülmüş kâğıt dokuları, kusurlu gerçek malzemeler ve döngüsel kompozisyonlardan oluşur. Yaprak logosu klişesi, steril stok fotoğrafı, korku görseli ve doğrulanmamış çevre rozeti kullanılmaz.</w:t>
      </w:r>
    </w:p>
    <w:p>
      <w:pPr>
        <w:pStyle w:val="Heading1"/>
        <w:keepNext/>
        <w:spacing w:before="160" w:after="80"/>
      </w:pPr>
      <w:r>
        <w:rPr>
          <w:rFonts w:ascii="Arial" w:hAnsi="Arial"/>
          <w:b/>
          <w:color w:val="000000"/>
          <w:sz w:val="28"/>
        </w:rPr>
        <w:t>Marka Değerleri</w:t>
      </w:r>
    </w:p>
    <w:p>
      <w:pPr>
        <w:pStyle w:val="ListBullet"/>
        <w:spacing w:after="50" w:line="252" w:lineRule="auto"/>
        <w:ind w:left="317" w:hanging="173"/>
      </w:pPr>
      <w:r>
        <w:rPr>
          <w:rFonts w:ascii="Arial" w:hAnsi="Arial"/>
          <w:b/>
          <w:color w:val="000000"/>
          <w:sz w:val="18"/>
        </w:rPr>
        <w:t xml:space="preserve">Uygulanabilirlik: </w:t>
      </w:r>
      <w:r>
        <w:rPr>
          <w:rFonts w:ascii="Arial" w:hAnsi="Arial"/>
          <w:b w:val="0"/>
          <w:color w:val="000000"/>
          <w:sz w:val="18"/>
        </w:rPr>
        <w:t>Her içerik tek ve net bir davranış önerir</w:t>
      </w:r>
    </w:p>
    <w:p>
      <w:pPr>
        <w:pStyle w:val="ListBullet"/>
        <w:spacing w:after="50" w:line="252" w:lineRule="auto"/>
        <w:ind w:left="317" w:hanging="173"/>
      </w:pPr>
      <w:r>
        <w:rPr>
          <w:rFonts w:ascii="Arial" w:hAnsi="Arial"/>
          <w:b/>
          <w:color w:val="000000"/>
          <w:sz w:val="18"/>
        </w:rPr>
        <w:t xml:space="preserve">Şeffaflık: </w:t>
      </w:r>
      <w:r>
        <w:rPr>
          <w:rFonts w:ascii="Arial" w:hAnsi="Arial"/>
          <w:b w:val="0"/>
          <w:color w:val="000000"/>
          <w:sz w:val="18"/>
        </w:rPr>
        <w:t>Kaynağı olmayan istatistik kullanılmaz; sınırlar açıklanır</w:t>
      </w:r>
    </w:p>
    <w:p>
      <w:pPr>
        <w:pStyle w:val="ListBullet"/>
        <w:spacing w:after="50" w:line="252" w:lineRule="auto"/>
        <w:ind w:left="317" w:hanging="173"/>
      </w:pPr>
      <w:r>
        <w:rPr>
          <w:rFonts w:ascii="Arial" w:hAnsi="Arial"/>
          <w:b/>
          <w:color w:val="000000"/>
          <w:sz w:val="18"/>
        </w:rPr>
        <w:t xml:space="preserve">Kapsayıcılık: </w:t>
      </w:r>
      <w:r>
        <w:rPr>
          <w:rFonts w:ascii="Arial" w:hAnsi="Arial"/>
          <w:b w:val="0"/>
          <w:color w:val="000000"/>
          <w:sz w:val="18"/>
        </w:rPr>
        <w:t>Sürdürülebilirlik pahalı alışverişle eşitlenmez</w:t>
      </w:r>
    </w:p>
    <w:p>
      <w:pPr>
        <w:pStyle w:val="ListBullet"/>
        <w:spacing w:after="50" w:line="252" w:lineRule="auto"/>
        <w:ind w:left="317" w:hanging="173"/>
      </w:pPr>
      <w:r>
        <w:rPr>
          <w:rFonts w:ascii="Arial" w:hAnsi="Arial"/>
          <w:b/>
          <w:color w:val="000000"/>
          <w:sz w:val="18"/>
        </w:rPr>
        <w:t xml:space="preserve">Yerellik: </w:t>
      </w:r>
      <w:r>
        <w:rPr>
          <w:rFonts w:ascii="Arial" w:hAnsi="Arial"/>
          <w:b w:val="0"/>
          <w:color w:val="000000"/>
          <w:sz w:val="18"/>
        </w:rPr>
        <w:t>Ev, mahalle, pazar, tamirci ve paylaşım noktaları görünür kılınır</w:t>
      </w:r>
    </w:p>
    <w:p>
      <w:pPr>
        <w:pStyle w:val="ListBullet"/>
        <w:spacing w:after="50" w:line="252" w:lineRule="auto"/>
        <w:ind w:left="317" w:hanging="173"/>
      </w:pPr>
      <w:r>
        <w:rPr>
          <w:rFonts w:ascii="Arial" w:hAnsi="Arial"/>
          <w:b/>
          <w:color w:val="000000"/>
          <w:sz w:val="18"/>
        </w:rPr>
        <w:t xml:space="preserve">İyimser gerçekçilik: </w:t>
      </w:r>
      <w:r>
        <w:rPr>
          <w:rFonts w:ascii="Arial" w:hAnsi="Arial"/>
          <w:b w:val="0"/>
          <w:color w:val="000000"/>
          <w:sz w:val="18"/>
        </w:rPr>
        <w:t>Sorun küçümsenmez; kullanıcı suçlanmaz</w:t>
      </w:r>
    </w:p>
    <w:p>
      <w:r>
        <w:br w:type="page"/>
      </w:r>
    </w:p>
    <w:p>
      <w:pPr>
        <w:pStyle w:val="Heading1"/>
        <w:keepNext/>
        <w:spacing w:before="160" w:after="80"/>
      </w:pPr>
      <w:r>
        <w:rPr>
          <w:rFonts w:ascii="Arial" w:hAnsi="Arial"/>
          <w:b/>
          <w:color w:val="000000"/>
          <w:sz w:val="28"/>
        </w:rPr>
        <w:t>Marka Sesi ve Hedef Kitle</w:t>
      </w:r>
    </w:p>
    <w:p>
      <w:pPr>
        <w:keepNext w:val="0"/>
        <w:spacing w:before="0" w:after="100" w:line="269" w:lineRule="auto"/>
      </w:pPr>
      <w:r>
        <w:rPr>
          <w:rFonts w:ascii="Arial" w:hAnsi="Arial"/>
          <w:b w:val="0"/>
          <w:color w:val="000000"/>
          <w:sz w:val="18"/>
        </w:rPr>
        <w:t>Sıfırİz bilgili fakat öğretmen gibi konuşmayan; pratik, sakin ve cesaretlendirici bir komşu gibi yazar. Hedef persona Derya, 28 yaşında, yoğun çalışan ve içerikleri çoğunlukla telefonundan takip eden bir şehir kullanıcısıdır. Çevreye duyarlıdır ancak uzun raporlar ve kusursuz yaşam örnekleri yerine iki dakikada anlayıp aynı gün deneyebileceği önerilere ihtiyaç duyar.</w:t>
      </w:r>
    </w:p>
    <w:tbl>
      <w:tblPr>
        <w:tblW w:type="auto" w:w="0"/>
        <w:jc w:val="center"/>
        <w:tblLayout w:type="fixed"/>
        <w:tblLook w:firstColumn="1" w:firstRow="1" w:lastColumn="0" w:lastRow="0" w:noHBand="0" w:noVBand="1" w:val="04A0"/>
      </w:tblPr>
      <w:tblGrid>
        <w:gridCol w:w="4925"/>
        <w:gridCol w:w="4925"/>
      </w:tblGrid>
      <w:tr>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7"/>
              </w:rPr>
              <w:t>Kullan</w:t>
            </w:r>
          </w:p>
        </w:tc>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7"/>
              </w:rPr>
              <w:t>Kaçın</w:t>
            </w:r>
          </w:p>
        </w:tc>
      </w:tr>
      <w:tr>
        <w:tc>
          <w:tcPr>
            <w:tcW w:type="dxa" w:w="4925"/>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7"/>
              </w:rPr>
              <w:t>“Bugün şunu deneyebilirsin.”</w:t>
              <w:br/>
              <w:t>Somut eylem ve gündelik Türkçe</w:t>
              <w:br/>
              <w:t>Kaynağı ve kapsamı açık iddia</w:t>
            </w:r>
          </w:p>
        </w:tc>
        <w:tc>
          <w:tcPr>
            <w:tcW w:type="dxa" w:w="4925"/>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7"/>
              </w:rPr>
              <w:t>“Bunu yapmalısın.”</w:t>
              <w:br/>
              <w:t>Suçluluk, korku ve kesin sonuç</w:t>
              <w:br/>
              <w:t>Kusursuzluk ve mucize vaatleri</w:t>
            </w:r>
          </w:p>
        </w:tc>
      </w:tr>
    </w:tbl>
    <w:p>
      <w:pPr>
        <w:pStyle w:val="Heading1"/>
        <w:keepNext/>
        <w:spacing w:before="160" w:after="80"/>
      </w:pPr>
      <w:r>
        <w:rPr>
          <w:rFonts w:ascii="Arial" w:hAnsi="Arial"/>
          <w:b/>
          <w:color w:val="000000"/>
          <w:sz w:val="28"/>
        </w:rPr>
        <w:t>İçerik Sütunları</w:t>
      </w:r>
    </w:p>
    <w:tbl>
      <w:tblPr>
        <w:tblW w:type="auto" w:w="0"/>
        <w:jc w:val="center"/>
        <w:tblLayout w:type="fixed"/>
        <w:tblLook w:firstColumn="1" w:firstRow="1" w:lastColumn="0" w:lastRow="0" w:noHBand="0" w:noVBand="1" w:val="04A0"/>
      </w:tblPr>
      <w:tblGrid>
        <w:gridCol w:w="2520"/>
        <w:gridCol w:w="7344"/>
      </w:tblGrid>
      <w:tr>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6"/>
              </w:rPr>
              <w:t>Sütun</w:t>
            </w:r>
          </w:p>
        </w:tc>
        <w:tc>
          <w:tcPr>
            <w:tcW w:type="dxa" w:w="500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6"/>
              </w:rPr>
              <w:t>Kapsam</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6"/>
              </w:rPr>
              <w:t>Evde 10 Dakika</w:t>
            </w:r>
          </w:p>
        </w:tc>
        <w:tc>
          <w:tcPr>
            <w:tcW w:type="dxa" w:w="73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6"/>
              </w:rPr>
              <w:t>Buzdolabı, yeniden doldurma, tek kullanımlık ürün ve ev içi mikro görevler.</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6"/>
              </w:rPr>
              <w:t>Mahallede Döngü</w:t>
            </w:r>
          </w:p>
        </w:tc>
        <w:tc>
          <w:tcPr>
            <w:tcW w:type="dxa" w:w="73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6"/>
              </w:rPr>
              <w:t>Tamir, ikinci el, paylaşım dolabı, üretici pazarı ve yerel dönüşüm noktaları.</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6"/>
              </w:rPr>
              <w:t>Etikete Değil Alışkanlığa</w:t>
            </w:r>
          </w:p>
        </w:tc>
        <w:tc>
          <w:tcPr>
            <w:tcW w:type="dxa" w:w="73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6"/>
              </w:rPr>
              <w:t>Yeşil iddiaları sade dille sorgulayan ve kaynağa bağlayan açıklamalar.</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6"/>
              </w:rPr>
              <w:t>Paylaş ve Çoğalt</w:t>
            </w:r>
          </w:p>
        </w:tc>
        <w:tc>
          <w:tcPr>
            <w:tcW w:type="dxa" w:w="73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6"/>
              </w:rPr>
              <w:t>Tamamlanan görevler, önce–sonra örnekleri ve topluluk çağrıları.</w:t>
            </w:r>
          </w:p>
        </w:tc>
      </w:tr>
    </w:tbl>
    <w:p>
      <w:pPr>
        <w:pStyle w:val="Heading1"/>
        <w:keepNext/>
        <w:spacing w:before="160" w:after="80"/>
      </w:pPr>
      <w:r>
        <w:rPr>
          <w:rFonts w:ascii="Arial" w:hAnsi="Arial"/>
          <w:b/>
          <w:color w:val="000000"/>
          <w:sz w:val="28"/>
        </w:rPr>
        <w:t>Benzer Oluşumlardan Ayrışma</w:t>
      </w:r>
    </w:p>
    <w:tbl>
      <w:tblPr>
        <w:tblW w:type="auto" w:w="0"/>
        <w:jc w:val="center"/>
        <w:tblLayout w:type="fixed"/>
        <w:tblLook w:firstColumn="1" w:firstRow="1" w:lastColumn="0" w:lastRow="0" w:noHBand="0" w:noVBand="1" w:val="04A0"/>
      </w:tblPr>
      <w:tblGrid>
        <w:gridCol w:w="1757"/>
        <w:gridCol w:w="3744"/>
        <w:gridCol w:w="4363"/>
      </w:tblGrid>
      <w:tr>
        <w:tc>
          <w:tcPr>
            <w:tcW w:type="dxa" w:w="33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5"/>
              </w:rPr>
              <w:t>Oluşum</w:t>
            </w:r>
          </w:p>
        </w:tc>
        <w:tc>
          <w:tcPr>
            <w:tcW w:type="dxa" w:w="33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5"/>
              </w:rPr>
              <w:t>Güçlü yön</w:t>
            </w:r>
          </w:p>
        </w:tc>
        <w:tc>
          <w:tcPr>
            <w:tcW w:type="dxa" w:w="3336"/>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173F3A"/>
          </w:tcPr>
          <w:p>
            <w:pPr>
              <w:spacing w:before="0" w:after="0" w:line="252" w:lineRule="auto"/>
            </w:pPr>
            <w:r>
              <w:rPr>
                <w:rFonts w:ascii="Arial" w:hAnsi="Arial"/>
                <w:b/>
                <w:color w:val="FFFFFF"/>
                <w:sz w:val="15"/>
              </w:rPr>
              <w:t>Sıfırİz ayrımı</w:t>
            </w:r>
          </w:p>
        </w:tc>
      </w:tr>
      <w:t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5"/>
              </w:rPr>
              <w:t>Sıfır Atık</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Kurumsal ve kapsamlı atık bilgisi</w:t>
            </w:r>
          </w:p>
        </w:tc>
        <w:tc>
          <w:tcPr>
            <w:tcW w:type="dxa" w:w="436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Bilgiyi gündelik mikro davranışa çevirir</w:t>
            </w:r>
          </w:p>
        </w:tc>
      </w:tr>
      <w:t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5"/>
              </w:rPr>
              <w:t>WWF Türkiye</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5"/>
              </w:rPr>
              <w:t>Araştırma ve savunuculuk</w:t>
            </w:r>
          </w:p>
        </w:tc>
        <w:tc>
          <w:tcPr>
            <w:tcW w:type="dxa" w:w="436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5"/>
              </w:rPr>
              <w:t>Ertesi gün tekrarlanabilir şehir rutinlerine odaklanır</w:t>
            </w:r>
          </w:p>
        </w:tc>
      </w:tr>
      <w:t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5"/>
              </w:rPr>
              <w:t>Fazla</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Gıda fazlasını teknolojiyle yönetir</w:t>
            </w:r>
          </w:p>
        </w:tc>
        <w:tc>
          <w:tcPr>
            <w:tcW w:type="dxa" w:w="436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Tek hizmet yerine ev ve mahalle davranışlarını kapsar</w:t>
            </w:r>
          </w:p>
        </w:tc>
      </w:tr>
      <w:t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color w:val="000000"/>
                <w:sz w:val="15"/>
              </w:rPr>
              <w:t>Too Good To Go</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5"/>
              </w:rPr>
              <w:t>Net ürün deneyimi ve topluluk</w:t>
            </w:r>
          </w:p>
        </w:tc>
        <w:tc>
          <w:tcPr>
            <w:tcW w:type="dxa" w:w="436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shd w:fill="F7F7F3"/>
          </w:tcPr>
          <w:p>
            <w:pPr>
              <w:spacing w:before="0" w:after="0" w:line="252" w:lineRule="auto"/>
            </w:pPr>
            <w:r>
              <w:rPr>
                <w:rFonts w:ascii="Arial" w:hAnsi="Arial"/>
                <w:b w:val="0"/>
                <w:color w:val="000000"/>
                <w:sz w:val="15"/>
              </w:rPr>
              <w:t>Tek işlem yerine davranış repertuvarı geliştirir</w:t>
            </w:r>
          </w:p>
        </w:tc>
      </w:tr>
      <w:tr>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color w:val="000000"/>
                <w:sz w:val="15"/>
              </w:rPr>
              <w:t>UNEP Zero Waste</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Küresel veri ve politika çerçevesi</w:t>
            </w:r>
          </w:p>
        </w:tc>
        <w:tc>
          <w:tcPr>
            <w:tcW w:type="dxa" w:w="4363"/>
            <w:vAlign w:val="center"/>
            <w:tcBorders>
              <w:top w:val="single" w:sz="5" w:color="D9D9D9"/>
              <w:left w:val="single" w:sz="5" w:color="D9D9D9"/>
              <w:bottom w:val="single" w:sz="5" w:color="D9D9D9"/>
              <w:right w:val="single" w:sz="5" w:color="D9D9D9"/>
              <w:insideH w:val="single" w:sz="5" w:color="D9D9D9"/>
              <w:insideV w:val="single" w:sz="5" w:color="D9D9D9"/>
            </w:tcBorders>
            <w:tcMar>
              <w:top w:w="105" w:type="dxa"/>
              <w:start w:w="115" w:type="dxa"/>
              <w:bottom w:w="105" w:type="dxa"/>
              <w:end w:w="115" w:type="dxa"/>
            </w:tcMar>
          </w:tcPr>
          <w:p>
            <w:pPr>
              <w:spacing w:before="0" w:after="0" w:line="252" w:lineRule="auto"/>
            </w:pPr>
            <w:r>
              <w:rPr>
                <w:rFonts w:ascii="Arial" w:hAnsi="Arial"/>
                <w:b w:val="0"/>
                <w:color w:val="000000"/>
                <w:sz w:val="15"/>
              </w:rPr>
              <w:t>Büyük resmi yerel Türkçe ve düşük eşikli görevlerle tamamlar</w:t>
            </w:r>
          </w:p>
        </w:tc>
      </w:tr>
    </w:tbl>
    <w:p>
      <w:pPr>
        <w:pStyle w:val="Heading2"/>
        <w:keepNext/>
        <w:spacing w:before="100" w:after="80"/>
      </w:pPr>
      <w:r>
        <w:rPr>
          <w:rFonts w:ascii="Arial" w:hAnsi="Arial"/>
          <w:b/>
          <w:color w:val="000000"/>
          <w:sz w:val="22"/>
        </w:rPr>
        <w:t>Kaynaklar</w:t>
      </w:r>
    </w:p>
    <w:p>
      <w:pPr>
        <w:spacing w:after="0" w:line="240" w:lineRule="auto"/>
      </w:pPr>
      <w:r>
        <w:rPr>
          <w:rFonts w:ascii="Arial" w:hAnsi="Arial"/>
          <w:b w:val="0"/>
          <w:color w:val="5E6E68"/>
          <w:sz w:val="14"/>
        </w:rPr>
        <w:t>Sıfır Atık Türkiye — sifiratik.gov.tr/sifir-atik/sifir-atik-nedir</w:t>
      </w:r>
      <w:r>
        <w:rPr>
          <w:rFonts w:ascii="Arial" w:hAnsi="Arial"/>
          <w:b w:val="0"/>
          <w:color w:val="5E6E68"/>
          <w:sz w:val="14"/>
        </w:rPr>
        <w:t xml:space="preserve">  •  WWF-Türkiye — wwf.org.tr/?15760/sahilsahiplenprogramsonuclar2023-2024=</w:t>
      </w:r>
      <w:r>
        <w:rPr>
          <w:rFonts w:ascii="Arial" w:hAnsi="Arial"/>
          <w:b w:val="0"/>
          <w:color w:val="5E6E68"/>
          <w:sz w:val="14"/>
        </w:rPr>
        <w:t xml:space="preserve">  •  Fazla — fazla.com/gida/</w:t>
      </w:r>
      <w:r>
        <w:rPr>
          <w:rFonts w:ascii="Arial" w:hAnsi="Arial"/>
          <w:b w:val="0"/>
          <w:color w:val="5E6E68"/>
          <w:sz w:val="14"/>
        </w:rPr>
        <w:t xml:space="preserve">  •  Too Good To Go — toogoodtogo.com/en-us/about-us</w:t>
      </w:r>
      <w:r>
        <w:rPr>
          <w:rFonts w:ascii="Arial" w:hAnsi="Arial"/>
          <w:b w:val="0"/>
          <w:color w:val="5E6E68"/>
          <w:sz w:val="14"/>
        </w:rPr>
        <w:t xml:space="preserve">  •  UNEP — unep.org/interactives/zero-waste-101/</w:t>
      </w:r>
    </w:p>
    <w:sectPr w:rsidR="00FC693F" w:rsidRPr="0006063C" w:rsidSect="00034616">
      <w:footerReference w:type="default" r:id="rId9"/>
      <w:pgSz w:w="11909" w:h="16834"/>
      <w:pgMar w:top="792" w:right="950" w:bottom="792"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E6E68"/>
        <w:sz w:val="15"/>
      </w:rPr>
      <w:t>Sıfırİz  ·  Yapay Zeka ile İçerik Üretimi Final Projesi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