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rPr>
          <w:rFonts w:ascii="Times New Roman" w:cs="Times New Roman" w:eastAsia="Times New Roman" w:hAnsi="Times New Roman"/>
          <w:b w:val="1"/>
          <w:sz w:val="64"/>
          <w:szCs w:val="64"/>
        </w:rPr>
      </w:pPr>
      <w:bookmarkStart w:colFirst="0" w:colLast="0" w:name="_ai9amlri6vq5" w:id="0"/>
      <w:bookmarkEnd w:id="0"/>
      <w:r w:rsidDel="00000000" w:rsidR="00000000" w:rsidRPr="00000000">
        <w:rPr>
          <w:rtl w:val="0"/>
        </w:rPr>
      </w:r>
    </w:p>
    <w:p w:rsidR="00000000" w:rsidDel="00000000" w:rsidP="00000000" w:rsidRDefault="00000000" w:rsidRPr="00000000" w14:paraId="00000002">
      <w:pPr>
        <w:pStyle w:val="Title"/>
        <w:keepNext w:val="0"/>
        <w:keepLines w:val="0"/>
        <w:spacing w:after="80" w:lineRule="auto"/>
        <w:rPr>
          <w:rFonts w:ascii="Times New Roman" w:cs="Times New Roman" w:eastAsia="Times New Roman" w:hAnsi="Times New Roman"/>
          <w:b w:val="1"/>
          <w:sz w:val="64"/>
          <w:szCs w:val="64"/>
        </w:rPr>
      </w:pPr>
      <w:bookmarkStart w:colFirst="0" w:colLast="0" w:name="_8lqc3rac5ww0"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lineRule="auto"/>
        <w:jc w:val="center"/>
        <w:rPr>
          <w:rFonts w:ascii="Times New Roman" w:cs="Times New Roman" w:eastAsia="Times New Roman" w:hAnsi="Times New Roman"/>
          <w:b w:val="1"/>
          <w:sz w:val="64"/>
          <w:szCs w:val="64"/>
        </w:rPr>
      </w:pPr>
      <w:bookmarkStart w:colFirst="0" w:colLast="0" w:name="_g1hsscofk623" w:id="2"/>
      <w:bookmarkEnd w:id="2"/>
      <w:r w:rsidDel="00000000" w:rsidR="00000000" w:rsidRPr="00000000">
        <w:rPr>
          <w:rFonts w:ascii="Times New Roman" w:cs="Times New Roman" w:eastAsia="Times New Roman" w:hAnsi="Times New Roman"/>
          <w:b w:val="1"/>
          <w:sz w:val="64"/>
          <w:szCs w:val="64"/>
          <w:rtl w:val="0"/>
        </w:rPr>
        <w:t xml:space="preserve">OpenSource </w:t>
      </w:r>
    </w:p>
    <w:p w:rsidR="00000000" w:rsidDel="00000000" w:rsidP="00000000" w:rsidRDefault="00000000" w:rsidRPr="00000000" w14:paraId="00000004">
      <w:pPr>
        <w:pStyle w:val="Title"/>
        <w:keepNext w:val="0"/>
        <w:keepLines w:val="0"/>
        <w:spacing w:after="80" w:lineRule="auto"/>
        <w:jc w:val="center"/>
        <w:rPr>
          <w:rFonts w:ascii="Times New Roman" w:cs="Times New Roman" w:eastAsia="Times New Roman" w:hAnsi="Times New Roman"/>
          <w:b w:val="1"/>
          <w:sz w:val="64"/>
          <w:szCs w:val="64"/>
        </w:rPr>
      </w:pPr>
      <w:bookmarkStart w:colFirst="0" w:colLast="0" w:name="_4b776f20smh6" w:id="3"/>
      <w:bookmarkEnd w:id="3"/>
      <w:r w:rsidDel="00000000" w:rsidR="00000000" w:rsidRPr="00000000">
        <w:rPr>
          <w:rFonts w:ascii="Times New Roman" w:cs="Times New Roman" w:eastAsia="Times New Roman" w:hAnsi="Times New Roman"/>
          <w:b w:val="1"/>
          <w:sz w:val="64"/>
          <w:szCs w:val="64"/>
          <w:rtl w:val="0"/>
        </w:rPr>
        <w:t xml:space="preserve">License Research</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Sertaç Ataç &amp; Ramazan Bağış</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25.06.2025</w:t>
      </w:r>
    </w:p>
    <w:p w:rsidR="00000000" w:rsidDel="00000000" w:rsidP="00000000" w:rsidRDefault="00000000" w:rsidRPr="00000000" w14:paraId="0000000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pStyle w:val="Heading2"/>
        <w:spacing w:after="240" w:before="240" w:lineRule="auto"/>
        <w:rPr>
          <w:rFonts w:ascii="Times New Roman" w:cs="Times New Roman" w:eastAsia="Times New Roman" w:hAnsi="Times New Roman"/>
          <w:b w:val="1"/>
          <w:sz w:val="36"/>
          <w:szCs w:val="36"/>
        </w:rPr>
      </w:pPr>
      <w:bookmarkStart w:colFirst="0" w:colLast="0" w:name="_ios724vzbfo2"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spacing w:after="240" w:before="240" w:lineRule="auto"/>
        <w:rPr>
          <w:rFonts w:ascii="Times New Roman" w:cs="Times New Roman" w:eastAsia="Times New Roman" w:hAnsi="Times New Roman"/>
          <w:b w:val="1"/>
          <w:sz w:val="36"/>
          <w:szCs w:val="36"/>
        </w:rPr>
      </w:pPr>
      <w:bookmarkStart w:colFirst="0" w:colLast="0" w:name="_8w3qudsi2sbq" w:id="5"/>
      <w:bookmarkEnd w:id="5"/>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 xml:space="preserve">This document provides a detailed analysis of various open-source licenses. The purpose of this research is to outline the permissions, conditions, and limitations associated with each license to provide a clear understanding of their respective terms. The licenses covered in this research are: APACHE, APACHE-2.0, BSD, BSD-2-CLAUSE, BSD-3-CLAUSE, GNU LESSER GENERAL PUBLIC LICENSE V2 (LGPLV2) &amp; (LGPL-2.1-OR-LATER), ISC (ISCL), MIT, MIT-CMU, MPL-2.0, and PSF-2.0.</w:t>
      </w:r>
      <w:r w:rsidDel="00000000" w:rsidR="00000000" w:rsidRPr="00000000">
        <w:rPr>
          <w:rtl w:val="0"/>
        </w:rPr>
      </w:r>
    </w:p>
    <w:p w:rsidR="00000000" w:rsidDel="00000000" w:rsidP="00000000" w:rsidRDefault="00000000" w:rsidRPr="00000000" w14:paraId="0000001C">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80" w:before="36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80" w:before="360" w:lineRule="auto"/>
        <w:rPr>
          <w:rFonts w:ascii="Times New Roman" w:cs="Times New Roman" w:eastAsia="Times New Roman" w:hAnsi="Times New Roman"/>
          <w:sz w:val="20"/>
          <w:szCs w:val="20"/>
        </w:rPr>
      </w:pPr>
      <w:r w:rsidDel="00000000" w:rsidR="00000000" w:rsidRPr="00000000">
        <w:rPr>
          <w:rtl w:val="0"/>
        </w:rPr>
      </w:r>
    </w:p>
    <w:sdt>
      <w:sdtPr>
        <w:id w:val="-1289685716"/>
        <w:docPartObj>
          <w:docPartGallery w:val="Table of Contents"/>
          <w:docPartUnique w:val="1"/>
        </w:docPartObj>
      </w:sdtPr>
      <w:sdtContent>
        <w:p w:rsidR="00000000" w:rsidDel="00000000" w:rsidP="00000000" w:rsidRDefault="00000000" w:rsidRPr="00000000" w14:paraId="00000021">
          <w:pPr>
            <w:widowControl w:val="0"/>
            <w:tabs>
              <w:tab w:val="right" w:leader="none" w:pos="9360"/>
            </w:tabs>
            <w:spacing w:before="60" w:line="240" w:lineRule="auto"/>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36"/>
              <w:szCs w:val="36"/>
              <w:rtl w:val="0"/>
            </w:rPr>
            <w:t xml:space="preserve">Table of Contents:</w:t>
          </w:r>
          <w:hyperlink w:anchor="_8w3qudsi2sbq">
            <w:r w:rsidDel="00000000" w:rsidR="00000000" w:rsidRPr="00000000">
              <w:rPr>
                <w:rFonts w:ascii="Times New Roman" w:cs="Times New Roman" w:eastAsia="Times New Roman" w:hAnsi="Times New Roman"/>
                <w:color w:val="000000"/>
                <w:u w:val="none"/>
                <w:rtl w:val="0"/>
              </w:rPr>
              <w:tab/>
            </w:r>
          </w:hyperlink>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rPr>
              <w:rFonts w:ascii="Times New Roman" w:cs="Times New Roman" w:eastAsia="Times New Roman" w:hAnsi="Times New Roman"/>
              <w:color w:val="000000"/>
              <w:u w:val="none"/>
            </w:rPr>
          </w:pPr>
          <w:hyperlink w:anchor="_t656w0nov5qk">
            <w:r w:rsidDel="00000000" w:rsidR="00000000" w:rsidRPr="00000000">
              <w:rPr>
                <w:rFonts w:ascii="Times New Roman" w:cs="Times New Roman" w:eastAsia="Times New Roman" w:hAnsi="Times New Roman"/>
                <w:color w:val="000000"/>
                <w:u w:val="none"/>
                <w:rtl w:val="0"/>
              </w:rPr>
              <w:t xml:space="preserve">1. Apache &amp; Apache 2.0</w:t>
              <w:tab/>
            </w:r>
          </w:hyperlink>
          <w:r w:rsidDel="00000000" w:rsidR="00000000" w:rsidRPr="00000000">
            <w:fldChar w:fldCharType="begin"/>
            <w:instrText xml:space="preserve"> PAGEREF _t656w0nov5qk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rFonts w:ascii="Times New Roman" w:cs="Times New Roman" w:eastAsia="Times New Roman" w:hAnsi="Times New Roman"/>
              <w:color w:val="000000"/>
              <w:u w:val="none"/>
            </w:rPr>
          </w:pPr>
          <w:hyperlink w:anchor="_dcupmoqppgso">
            <w:r w:rsidDel="00000000" w:rsidR="00000000" w:rsidRPr="00000000">
              <w:rPr>
                <w:rFonts w:ascii="Times New Roman" w:cs="Times New Roman" w:eastAsia="Times New Roman" w:hAnsi="Times New Roman"/>
                <w:color w:val="000000"/>
                <w:u w:val="none"/>
                <w:rtl w:val="0"/>
              </w:rPr>
              <w:t xml:space="preserve">2. BSD (Berkeley Software Distribution) &amp; BSD-3 Clause</w:t>
              <w:tab/>
            </w:r>
          </w:hyperlink>
          <w:r w:rsidDel="00000000" w:rsidR="00000000" w:rsidRPr="00000000">
            <w:fldChar w:fldCharType="begin"/>
            <w:instrText xml:space="preserve"> PAGEREF _dcupmoqppgso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rPr>
              <w:rFonts w:ascii="Times New Roman" w:cs="Times New Roman" w:eastAsia="Times New Roman" w:hAnsi="Times New Roman"/>
              <w:color w:val="000000"/>
              <w:u w:val="none"/>
            </w:rPr>
          </w:pPr>
          <w:hyperlink w:anchor="_ku0abr4qie10">
            <w:r w:rsidDel="00000000" w:rsidR="00000000" w:rsidRPr="00000000">
              <w:rPr>
                <w:rFonts w:ascii="Times New Roman" w:cs="Times New Roman" w:eastAsia="Times New Roman" w:hAnsi="Times New Roman"/>
                <w:color w:val="000000"/>
                <w:u w:val="none"/>
                <w:rtl w:val="0"/>
              </w:rPr>
              <w:t xml:space="preserve">3. GNU LESSER GENERAL PUBLIC LICENSE V2 (LGPLV2) &amp; (LGPL-2.1-OR-LATER)</w:t>
              <w:tab/>
            </w:r>
          </w:hyperlink>
          <w:r w:rsidDel="00000000" w:rsidR="00000000" w:rsidRPr="00000000">
            <w:fldChar w:fldCharType="begin"/>
            <w:instrText xml:space="preserve"> PAGEREF _ku0abr4qie10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rPr>
              <w:rFonts w:ascii="Times New Roman" w:cs="Times New Roman" w:eastAsia="Times New Roman" w:hAnsi="Times New Roman"/>
              <w:color w:val="000000"/>
              <w:u w:val="none"/>
            </w:rPr>
          </w:pPr>
          <w:hyperlink w:anchor="_yy71aux5y07h">
            <w:r w:rsidDel="00000000" w:rsidR="00000000" w:rsidRPr="00000000">
              <w:rPr>
                <w:rFonts w:ascii="Times New Roman" w:cs="Times New Roman" w:eastAsia="Times New Roman" w:hAnsi="Times New Roman"/>
                <w:color w:val="000000"/>
                <w:u w:val="none"/>
                <w:rtl w:val="0"/>
              </w:rPr>
              <w:t xml:space="preserve">4. GPL (GNU GENERAL PUBLIC LICENSE)</w:t>
              <w:tab/>
            </w:r>
          </w:hyperlink>
          <w:r w:rsidDel="00000000" w:rsidR="00000000" w:rsidRPr="00000000">
            <w:fldChar w:fldCharType="begin"/>
            <w:instrText xml:space="preserve"> PAGEREF _yy71aux5y07h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rPr>
              <w:rFonts w:ascii="Times New Roman" w:cs="Times New Roman" w:eastAsia="Times New Roman" w:hAnsi="Times New Roman"/>
              <w:color w:val="000000"/>
              <w:u w:val="none"/>
            </w:rPr>
          </w:pPr>
          <w:hyperlink w:anchor="_gaumdhtvgelw">
            <w:r w:rsidDel="00000000" w:rsidR="00000000" w:rsidRPr="00000000">
              <w:rPr>
                <w:rFonts w:ascii="Times New Roman" w:cs="Times New Roman" w:eastAsia="Times New Roman" w:hAnsi="Times New Roman"/>
                <w:color w:val="000000"/>
                <w:u w:val="none"/>
                <w:rtl w:val="0"/>
              </w:rPr>
              <w:t xml:space="preserve">5. ISC (Internet Systems Consortium)</w:t>
              <w:tab/>
            </w:r>
          </w:hyperlink>
          <w:r w:rsidDel="00000000" w:rsidR="00000000" w:rsidRPr="00000000">
            <w:fldChar w:fldCharType="begin"/>
            <w:instrText xml:space="preserve"> PAGEREF _gaumdhtvgelw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rPr>
              <w:rFonts w:ascii="Times New Roman" w:cs="Times New Roman" w:eastAsia="Times New Roman" w:hAnsi="Times New Roman"/>
              <w:color w:val="000000"/>
              <w:u w:val="none"/>
            </w:rPr>
          </w:pPr>
          <w:hyperlink w:anchor="_j9n7am8gfzhp">
            <w:r w:rsidDel="00000000" w:rsidR="00000000" w:rsidRPr="00000000">
              <w:rPr>
                <w:rFonts w:ascii="Times New Roman" w:cs="Times New Roman" w:eastAsia="Times New Roman" w:hAnsi="Times New Roman"/>
                <w:color w:val="000000"/>
                <w:u w:val="none"/>
                <w:rtl w:val="0"/>
              </w:rPr>
              <w:t xml:space="preserve">6. MIT (Massachusetts Institute of Technology) &amp; MIT-CMU (Carnegie Mellon University)</w:t>
              <w:tab/>
            </w:r>
          </w:hyperlink>
          <w:r w:rsidDel="00000000" w:rsidR="00000000" w:rsidRPr="00000000">
            <w:fldChar w:fldCharType="begin"/>
            <w:instrText xml:space="preserve"> PAGEREF _j9n7am8gfzhp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rPr>
              <w:rFonts w:ascii="Times New Roman" w:cs="Times New Roman" w:eastAsia="Times New Roman" w:hAnsi="Times New Roman"/>
              <w:color w:val="000000"/>
              <w:u w:val="none"/>
            </w:rPr>
          </w:pPr>
          <w:hyperlink w:anchor="_e4aby21lntz">
            <w:r w:rsidDel="00000000" w:rsidR="00000000" w:rsidRPr="00000000">
              <w:rPr>
                <w:rFonts w:ascii="Times New Roman" w:cs="Times New Roman" w:eastAsia="Times New Roman" w:hAnsi="Times New Roman"/>
                <w:color w:val="000000"/>
                <w:u w:val="none"/>
                <w:rtl w:val="0"/>
              </w:rPr>
              <w:t xml:space="preserve">7. MPL-2.0 (Mozilla Public License 2.0)</w:t>
              <w:tab/>
            </w:r>
          </w:hyperlink>
          <w:r w:rsidDel="00000000" w:rsidR="00000000" w:rsidRPr="00000000">
            <w:fldChar w:fldCharType="begin"/>
            <w:instrText xml:space="preserve"> PAGEREF _e4aby21lntz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rFonts w:ascii="Times New Roman" w:cs="Times New Roman" w:eastAsia="Times New Roman" w:hAnsi="Times New Roman"/>
              <w:color w:val="000000"/>
              <w:u w:val="none"/>
            </w:rPr>
          </w:pPr>
          <w:hyperlink w:anchor="_tgqixnhtyb8w">
            <w:r w:rsidDel="00000000" w:rsidR="00000000" w:rsidRPr="00000000">
              <w:rPr>
                <w:rFonts w:ascii="Times New Roman" w:cs="Times New Roman" w:eastAsia="Times New Roman" w:hAnsi="Times New Roman"/>
                <w:color w:val="000000"/>
                <w:u w:val="none"/>
                <w:rtl w:val="0"/>
              </w:rPr>
              <w:t xml:space="preserve">8. PSF-2.0 (Python Software Foundation License 2.0)</w:t>
              <w:tab/>
            </w:r>
          </w:hyperlink>
          <w:r w:rsidDel="00000000" w:rsidR="00000000" w:rsidRPr="00000000">
            <w:fldChar w:fldCharType="begin"/>
            <w:instrText xml:space="preserve"> PAGEREF _tgqixnhtyb8w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80" w:before="36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after="80" w:befor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Style w:val="Heading2"/>
        <w:keepNext w:val="0"/>
        <w:keepLines w:val="0"/>
        <w:numPr>
          <w:ilvl w:val="0"/>
          <w:numId w:val="1"/>
        </w:numPr>
        <w:spacing w:after="80" w:lineRule="auto"/>
        <w:ind w:left="720" w:hanging="360"/>
        <w:rPr>
          <w:rFonts w:ascii="Times New Roman" w:cs="Times New Roman" w:eastAsia="Times New Roman" w:hAnsi="Times New Roman"/>
          <w:b w:val="1"/>
          <w:sz w:val="36"/>
          <w:szCs w:val="36"/>
        </w:rPr>
      </w:pPr>
      <w:bookmarkStart w:colFirst="0" w:colLast="0" w:name="_t656w0nov5qk" w:id="6"/>
      <w:bookmarkEnd w:id="6"/>
      <w:r w:rsidDel="00000000" w:rsidR="00000000" w:rsidRPr="00000000">
        <w:rPr>
          <w:rFonts w:ascii="Times New Roman" w:cs="Times New Roman" w:eastAsia="Times New Roman" w:hAnsi="Times New Roman"/>
          <w:b w:val="1"/>
          <w:sz w:val="36"/>
          <w:szCs w:val="36"/>
          <w:rtl w:val="0"/>
        </w:rPr>
        <w:t xml:space="preserve">Apache &amp; Apache 2.0</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Apache License 2.0 is a permissive license similar to MIT and BSD but includes additional terms addressing patents and contributor obligations. It grants permission for use, modification, and distribution of the software, provided that the license text and NOTICE file (if present) are retained. Additionally, any modified files must be clearly marked.</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Violations such as removing attribution notices, failing to disclose changes, or misusing trademarks may result in termination of license rights. Legal consequences may follow if unauthorized use continues.</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numPr>
          <w:ilvl w:val="0"/>
          <w:numId w:val="1"/>
        </w:numPr>
        <w:ind w:left="720" w:hanging="360"/>
        <w:rPr>
          <w:rFonts w:ascii="Times New Roman" w:cs="Times New Roman" w:eastAsia="Times New Roman" w:hAnsi="Times New Roman"/>
          <w:b w:val="1"/>
          <w:sz w:val="36"/>
          <w:szCs w:val="36"/>
        </w:rPr>
      </w:pPr>
      <w:bookmarkStart w:colFirst="0" w:colLast="0" w:name="_dcupmoqppgso" w:id="7"/>
      <w:bookmarkEnd w:id="7"/>
      <w:r w:rsidDel="00000000" w:rsidR="00000000" w:rsidRPr="00000000">
        <w:rPr>
          <w:rFonts w:ascii="Times New Roman" w:cs="Times New Roman" w:eastAsia="Times New Roman" w:hAnsi="Times New Roman"/>
          <w:b w:val="1"/>
          <w:sz w:val="36"/>
          <w:szCs w:val="36"/>
          <w:rtl w:val="0"/>
        </w:rPr>
        <w:t xml:space="preserve">BSD (Berkeley Software Distribution) &amp; BSD-3 Clause</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BSD and 3-Clause licenses are permissive licenses that allow software to be freely used, modified, and redistributed, including for commercial purposes. The 3-Clause version adds a condition prohibiting the use of the original authors' names to endorse or promote derivative products without prior permission.</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these licenses are not heavily enforced in practice, their terms are taken seriously in commercial and academic environments. Violating the license can lead to copyright disputes or claims of misrepresentation.</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numPr>
          <w:ilvl w:val="0"/>
          <w:numId w:val="1"/>
        </w:numPr>
        <w:spacing w:after="240" w:before="240" w:lineRule="auto"/>
        <w:ind w:left="720" w:hanging="360"/>
        <w:rPr>
          <w:rFonts w:ascii="Times New Roman" w:cs="Times New Roman" w:eastAsia="Times New Roman" w:hAnsi="Times New Roman"/>
          <w:b w:val="1"/>
          <w:sz w:val="36"/>
          <w:szCs w:val="36"/>
        </w:rPr>
      </w:pPr>
      <w:bookmarkStart w:colFirst="0" w:colLast="0" w:name="_ku0abr4qie10" w:id="8"/>
      <w:bookmarkEnd w:id="8"/>
      <w:r w:rsidDel="00000000" w:rsidR="00000000" w:rsidRPr="00000000">
        <w:rPr>
          <w:rFonts w:ascii="Times New Roman" w:cs="Times New Roman" w:eastAsia="Times New Roman" w:hAnsi="Times New Roman"/>
          <w:b w:val="1"/>
          <w:sz w:val="36"/>
          <w:szCs w:val="36"/>
          <w:rtl w:val="0"/>
        </w:rPr>
        <w:t xml:space="preserve">GNU LESSER GENERAL PUBLIC LICENSE V2 (LGPLV2) &amp; (LGPL-2.1-OR-LATER)</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LGPL licenses are designed to let open-source libraries be used in proprietary applications without forcing users to open their own codes. If any changes are made in the library’s internal code and it is distributed, those changes must be open-sourced under the same license.</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numPr>
          <w:ilvl w:val="0"/>
          <w:numId w:val="1"/>
        </w:numPr>
        <w:ind w:left="720" w:hanging="360"/>
        <w:rPr>
          <w:rFonts w:ascii="Times New Roman" w:cs="Times New Roman" w:eastAsia="Times New Roman" w:hAnsi="Times New Roman"/>
          <w:b w:val="1"/>
          <w:sz w:val="40"/>
          <w:szCs w:val="40"/>
        </w:rPr>
      </w:pPr>
      <w:bookmarkStart w:colFirst="0" w:colLast="0" w:name="_yy71aux5y07h" w:id="9"/>
      <w:bookmarkEnd w:id="9"/>
      <w:r w:rsidDel="00000000" w:rsidR="00000000" w:rsidRPr="00000000">
        <w:rPr>
          <w:rFonts w:ascii="Times New Roman" w:cs="Times New Roman" w:eastAsia="Times New Roman" w:hAnsi="Times New Roman"/>
          <w:b w:val="1"/>
          <w:sz w:val="36"/>
          <w:szCs w:val="36"/>
          <w:rtl w:val="0"/>
        </w:rPr>
        <w:t xml:space="preserve">GPL (GNU GENERAL PUBLIC LICENSE)</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GNU General Public License (GPL) is a strong copyleft license created by the Free Software Foundation. It ensures that any software using GPL-licensed code must also be distributed under the same GPL terms if it is shared publicly. This rule extends not only to direct modifications but to any derivative works or projects incorporating GPL components.</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 licensed under the GPL must make their complete source code available to end users. Furthermore, recipients must be granted the same rights, including the ability to run, modify, and redistribute the software. This makes the GPL an effective mechanism for maintaining software freedom through generations of derivative work.</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Violating GPL conditions results in immediate loss of licensing rights. The violator may be subject to legal claims, including injunctions and damages, unless the issue is resolved (e.g., by bringing the project into compliance or negotiating a separate license).</w:t>
      </w:r>
    </w:p>
    <w:p w:rsidR="00000000" w:rsidDel="00000000" w:rsidP="00000000" w:rsidRDefault="00000000" w:rsidRPr="00000000" w14:paraId="0000004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numPr>
          <w:ilvl w:val="0"/>
          <w:numId w:val="1"/>
        </w:numPr>
        <w:spacing w:after="240" w:before="240" w:lineRule="auto"/>
        <w:ind w:left="720" w:hanging="360"/>
        <w:rPr>
          <w:rFonts w:ascii="Times New Roman" w:cs="Times New Roman" w:eastAsia="Times New Roman" w:hAnsi="Times New Roman"/>
          <w:b w:val="1"/>
          <w:sz w:val="36"/>
          <w:szCs w:val="36"/>
        </w:rPr>
      </w:pPr>
      <w:bookmarkStart w:colFirst="0" w:colLast="0" w:name="_gaumdhtvgelw" w:id="10"/>
      <w:bookmarkEnd w:id="10"/>
      <w:r w:rsidDel="00000000" w:rsidR="00000000" w:rsidRPr="00000000">
        <w:rPr>
          <w:rFonts w:ascii="Times New Roman" w:cs="Times New Roman" w:eastAsia="Times New Roman" w:hAnsi="Times New Roman"/>
          <w:b w:val="1"/>
          <w:sz w:val="36"/>
          <w:szCs w:val="36"/>
          <w:rtl w:val="0"/>
        </w:rPr>
        <w:t xml:space="preserve">ISC (Internet Systems Consortium)</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ISC license is about as straightforward as it gets. It’s short, permissive, and to the point. It says: use it however you like, in any kind of project, commercial or not. Just make sure the license and copyright notice stays with the code.</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violate it (for example, by stripping out the license text), you could face copyright issues. But given its light conditions, staying compliant is almost effortless.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numPr>
          <w:ilvl w:val="0"/>
          <w:numId w:val="1"/>
        </w:numPr>
        <w:ind w:left="720" w:hanging="360"/>
        <w:rPr>
          <w:rFonts w:ascii="Times New Roman" w:cs="Times New Roman" w:eastAsia="Times New Roman" w:hAnsi="Times New Roman"/>
          <w:b w:val="1"/>
          <w:sz w:val="36"/>
          <w:szCs w:val="36"/>
        </w:rPr>
      </w:pPr>
      <w:bookmarkStart w:colFirst="0" w:colLast="0" w:name="_j9n7am8gfzhp" w:id="11"/>
      <w:bookmarkEnd w:id="11"/>
      <w:r w:rsidDel="00000000" w:rsidR="00000000" w:rsidRPr="00000000">
        <w:rPr>
          <w:rFonts w:ascii="Times New Roman" w:cs="Times New Roman" w:eastAsia="Times New Roman" w:hAnsi="Times New Roman"/>
          <w:b w:val="1"/>
          <w:sz w:val="36"/>
          <w:szCs w:val="36"/>
          <w:rtl w:val="0"/>
        </w:rPr>
        <w:t xml:space="preserve">MIT (Massachusetts Institute of Technology) &amp; MIT-CMU (Carnegie Mellon University)</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MIT License is considered one of the most straightforward and widely adopted open-source licenses. It permits projects to be used, copied, modified, merged, published, or distributed for any purpose, including commercial use. The only obligation is to retain the original license text and copyright notice in all copies or substantial portions of the software. This license is commonly chosen to maximize flexibility and reuse with minimal legal complexity.</w:t>
      </w:r>
    </w:p>
    <w:p w:rsidR="00000000" w:rsidDel="00000000" w:rsidP="00000000" w:rsidRDefault="00000000" w:rsidRPr="00000000" w14:paraId="0000004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MIT-CMU is a variant of the MIT license originally used by Carnegie Mellon University. It has the same freedoms: use, modify, share, and sell the code however you want. The main difference is that it adds an advertising clause, you can't use the names of the copyright holders to promote your product without permission.</w:t>
      </w:r>
      <w:r w:rsidDel="00000000" w:rsidR="00000000" w:rsidRPr="00000000">
        <w:rPr>
          <w:rtl w:val="0"/>
        </w:rPr>
      </w:r>
    </w:p>
    <w:p w:rsidR="00000000" w:rsidDel="00000000" w:rsidP="00000000" w:rsidRDefault="00000000" w:rsidRPr="00000000" w14:paraId="0000004C">
      <w:pPr>
        <w:pStyle w:val="Heading2"/>
        <w:numPr>
          <w:ilvl w:val="0"/>
          <w:numId w:val="1"/>
        </w:numPr>
        <w:ind w:left="720" w:hanging="360"/>
        <w:rPr>
          <w:rFonts w:ascii="Times New Roman" w:cs="Times New Roman" w:eastAsia="Times New Roman" w:hAnsi="Times New Roman"/>
          <w:b w:val="1"/>
          <w:sz w:val="36"/>
          <w:szCs w:val="36"/>
        </w:rPr>
      </w:pPr>
      <w:bookmarkStart w:colFirst="0" w:colLast="0" w:name="_e4aby21lntz" w:id="12"/>
      <w:bookmarkEnd w:id="12"/>
      <w:r w:rsidDel="00000000" w:rsidR="00000000" w:rsidRPr="00000000">
        <w:rPr>
          <w:rFonts w:ascii="Times New Roman" w:cs="Times New Roman" w:eastAsia="Times New Roman" w:hAnsi="Times New Roman"/>
          <w:b w:val="1"/>
          <w:sz w:val="36"/>
          <w:szCs w:val="36"/>
          <w:rtl w:val="0"/>
        </w:rPr>
        <w:t xml:space="preserve">MPL-2.0 (Mozilla Public License 2.0)</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Mozilla Public License is a bit of a middle ground. It permits the use of MPL-covered code in proprietary projects, while requiring that any modified MPL-licensed files remain under the same license. This approach allows developers to maintain privacy over unrelated parts of their code while ensuring openness of the original components. Modifications to MPL-covered files are published under the MPL. </w:t>
      </w:r>
    </w:p>
    <w:p w:rsidR="00000000" w:rsidDel="00000000" w:rsidP="00000000" w:rsidRDefault="00000000" w:rsidRPr="00000000" w14:paraId="0000004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Non-compliance, such as not sharing the modified source files or removing license notices, can lead to automatic termination of the license. Continued use after termination may lead to copyright breach claims or formal legal action.</w:t>
      </w:r>
    </w:p>
    <w:p w:rsidR="00000000" w:rsidDel="00000000" w:rsidP="00000000" w:rsidRDefault="00000000" w:rsidRPr="00000000" w14:paraId="0000004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rPr>
          <w:rFonts w:ascii="Times New Roman" w:cs="Times New Roman" w:eastAsia="Times New Roman" w:hAnsi="Times New Roman"/>
          <w:b w:val="1"/>
          <w:sz w:val="36"/>
          <w:szCs w:val="36"/>
        </w:rPr>
      </w:pPr>
      <w:bookmarkStart w:colFirst="0" w:colLast="0" w:name="_tgqixnhtyb8w" w:id="13"/>
      <w:bookmarkEnd w:id="13"/>
      <w:r w:rsidDel="00000000" w:rsidR="00000000" w:rsidRPr="00000000">
        <w:rPr>
          <w:rFonts w:ascii="Times New Roman" w:cs="Times New Roman" w:eastAsia="Times New Roman" w:hAnsi="Times New Roman"/>
          <w:b w:val="1"/>
          <w:sz w:val="36"/>
          <w:szCs w:val="36"/>
          <w:rtl w:val="0"/>
        </w:rPr>
        <w:t xml:space="preserve">PSF-2.0 (Python Software Foundation License 2.0)</w:t>
      </w:r>
    </w:p>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license is used for Python and projects under the Python Software Foundation. It's permissive, meaning you can use it in nearly any context: commercial, educational, or personal. You just have to keep the license text and clearly state what changes you made if you modify it.</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You’re also restricted from using the PSF's name or trademarks to imply endorsement. As long as you're transparent and respectful, you’ll have no issues.</w:t>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violate those conditions you could lose your rights under the license or be asked to remove the content. Legal consequences are rare but possible if misused.</w:t>
      </w:r>
    </w:p>
    <w:p w:rsidR="00000000" w:rsidDel="00000000" w:rsidP="00000000" w:rsidRDefault="00000000" w:rsidRPr="00000000" w14:paraId="00000054">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