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CompliHub360 Wizard Compatibility</w:t>
        <w:br/>
        <w:t>and Information Request</w:t>
      </w:r>
    </w:p>
    <w:p>
      <w:pPr>
        <w:pStyle w:val="Subtitle"/>
      </w:pPr>
      <w:r>
        <w:t>Instructions for the development team and Claude</w:t>
      </w:r>
    </w:p>
    <w:p>
      <w:r>
        <w:t>From Demet Kale  |  15 October 2026  |  Version 1.0</w:t>
      </w:r>
    </w:p>
    <w:p>
      <w:pPr>
        <w:pStyle w:val="Heading1"/>
      </w:pPr>
      <w:r>
        <w:t>1 Task and boundaries</w:t>
      </w:r>
    </w:p>
    <w:p>
      <w:r>
        <w:t>Please inspect the current implementation and return the information needed to continue designing the CompliHub360 wizard. We want a fast, selection-only assessment that identifies relevant needs and improves Provider fit while working within the existing website, user workspace and Provider dashboard.</w:t>
      </w:r>
    </w:p>
    <w:p>
      <w:r>
        <w:rPr>
          <w:b/>
        </w:rPr>
        <w:t>This request authorizes a read-only audit and a written report.</w:t>
      </w:r>
      <w:r>
        <w:t xml:space="preserve"> It does not authorize code changes, migrations, deployments, new dashboard fields, changes to the Provider catalogue or amendments to legal documents.</w:t>
      </w:r>
    </w:p>
    <w:p>
      <w:pPr>
        <w:pStyle w:val="Heading2"/>
      </w:pPr>
      <w:r>
        <w:t>What we need back</w:t>
      </w:r>
    </w:p>
    <w:p>
      <w:r>
        <w:t>Return one Wizard Compatibility Inventory based on the actual current code and data structure. Separate implemented behavior, incomplete implementation and planned capabilities. Show which proposed wizard changes can work within the existing system and identify every dependency that would require a change elsewhere.</w:t>
      </w:r>
    </w:p>
    <w:p>
      <w:pPr>
        <w:pStyle w:val="Heading2"/>
      </w:pPr>
      <w:r>
        <w:t>Requirements that guide the design</w:t>
      </w:r>
    </w:p>
    <w:p>
      <w:pPr>
        <w:pStyle w:val="ListBullet"/>
      </w:pPr>
      <w:r>
        <w:t>All wizard answers must be selectable. Use cards, buttons, checkboxes, lists, ranges or date pickers. Do not introduce free text, numeric typing, written explanations or an Other option that asks the user to describe something. Country selection must work without typing.</w:t>
      </w:r>
    </w:p>
    <w:p>
      <w:pPr>
        <w:pStyle w:val="ListBullet"/>
      </w:pPr>
      <w:r>
        <w:t>Ask a question only when its answer identifies a need, determines a relevant follow-up, improves Provider fit or supplies necessary consultation context. Reuse answers and show only relevant questions.</w:t>
      </w:r>
    </w:p>
    <w:p>
      <w:pPr>
        <w:pStyle w:val="ListBullet"/>
      </w:pPr>
      <w:r>
        <w:t>Keep answer labels short and familiar. Preserve the distinction between Not sure, Not yet, Not applicable and No where relevant. Unanswered and unknown answers must not become negative answers.</w:t>
      </w:r>
    </w:p>
    <w:p>
      <w:pPr>
        <w:pStyle w:val="ListBullet"/>
      </w:pPr>
      <w:r>
        <w:t>Treat the existing website and dashboards as fixed interfaces. Reuse current components, identifiers, supported fields, displays and handover locations. Report incompatible proposals rather than expanding the implementation scope.</w:t>
      </w:r>
    </w:p>
    <w:p>
      <w:pPr>
        <w:pStyle w:val="ListBullet"/>
      </w:pPr>
      <w:r>
        <w:t>Preserve current commercial rules, fair matching, anonymous Provider comparison, booking and information-release controls. Use Provider in product wording.</w:t>
      </w:r>
    </w:p>
    <w:p>
      <w:pPr>
        <w:pStyle w:val="ListBullet"/>
      </w:pPr>
      <w:r>
        <w:t>Selection-only applies to the wizard. This work does not remove or redesign the separate question or search entry elsewhere on the website.</w:t>
      </w:r>
    </w:p>
    <w:p>
      <w:r>
        <w:t>Do not promise a completion time or a perfect match. Measure common journeys before confirming a time claim. This request is preparation for the final wizard specification; the complete category questions and flashcard preview will be created later.</w:t>
      </w:r>
    </w:p>
    <w:p>
      <w:pPr>
        <w:pStyle w:val="Heading1"/>
        <w:pageBreakBefore/>
      </w:pPr>
      <w:r>
        <w:t>2 Agreed direction and question wording</w:t>
      </w:r>
    </w:p>
    <w:p>
      <w:r>
        <w:t>The following decision record preserves our design discussion. Approval of wording does not establish technical compatibility or authorize implementation. The personal route has a specific scope hold described in Section 4.</w:t>
      </w:r>
    </w:p>
    <w:p>
      <w:pPr>
        <w:pStyle w:val="Heading2"/>
      </w:pPr>
      <w:r>
        <w:t>Opening context question</w:t>
      </w:r>
    </w:p>
    <w:p>
      <w:r>
        <w:rPr>
          <w:b/>
        </w:rPr>
        <w:t>What best describes your situation?</w:t>
      </w:r>
    </w:p>
    <w:p>
      <w:pPr>
        <w:pStyle w:val="ListBullet"/>
        <w:spacing w:after="40"/>
      </w:pPr>
      <w:r>
        <w:t>Existing business or self-employed</w:t>
      </w:r>
    </w:p>
    <w:p>
      <w:pPr>
        <w:pStyle w:val="ListBullet"/>
        <w:spacing w:after="40"/>
      </w:pPr>
      <w:r>
        <w:t>Starting a business</w:t>
      </w:r>
    </w:p>
    <w:p>
      <w:pPr>
        <w:pStyle w:val="ListBullet"/>
        <w:spacing w:after="40"/>
      </w:pPr>
      <w:r>
        <w:t>Personal matter</w:t>
      </w:r>
    </w:p>
    <w:p>
      <w:pPr>
        <w:pStyle w:val="ListBullet"/>
        <w:spacing w:after="40"/>
      </w:pPr>
      <w:r>
        <w:t>Not sure—guide me</w:t>
      </w:r>
    </w:p>
    <w:p>
      <w:r>
        <w:t>Status: Routing concept and these options approved in discussion. Personal matter is on hold pending scope reconciliation. Single selection is the proposed implementation rule and must be confirmed in the final specification.</w:t>
      </w:r>
    </w:p>
    <w:p>
      <w:r>
        <w:t>Why: We need to distinguish business context before asking business-specific questions. A founder or self-employed person can have a business need without a formed company. Not sure must lead to guided choices, not an incomplete search with invented defaults.</w:t>
      </w:r>
    </w:p>
    <w:p>
      <w:pPr>
        <w:pStyle w:val="Heading2"/>
      </w:pPr>
      <w:r>
        <w:t>Reason for seeking help</w:t>
      </w:r>
    </w:p>
    <w:p>
      <w:r>
        <w:rPr>
          <w:b/>
        </w:rPr>
        <w:t>What brings you here today?</w:t>
      </w:r>
    </w:p>
    <w:p>
      <w:r>
        <w:t>Choose all that apply.</w:t>
      </w:r>
    </w:p>
    <w:p>
      <w:pPr>
        <w:pStyle w:val="ListBullet"/>
        <w:spacing w:after="40"/>
      </w:pPr>
      <w:r>
        <w:t>Business, product, or service launch</w:t>
      </w:r>
    </w:p>
    <w:p>
      <w:pPr>
        <w:pStyle w:val="ListBullet"/>
        <w:spacing w:after="40"/>
      </w:pPr>
      <w:r>
        <w:t>Expansion into new markets</w:t>
      </w:r>
    </w:p>
    <w:p>
      <w:pPr>
        <w:pStyle w:val="ListBullet"/>
        <w:spacing w:after="40"/>
      </w:pPr>
      <w:r>
        <w:t>Compliance check</w:t>
      </w:r>
    </w:p>
    <w:p>
      <w:pPr>
        <w:pStyle w:val="ListBullet"/>
        <w:spacing w:after="40"/>
      </w:pPr>
      <w:r>
        <w:t>Ongoing compliance support</w:t>
      </w:r>
    </w:p>
    <w:p>
      <w:pPr>
        <w:pStyle w:val="ListBullet"/>
        <w:spacing w:after="40"/>
      </w:pPr>
      <w:r>
        <w:t>Changing or adding a Provider</w:t>
      </w:r>
    </w:p>
    <w:p>
      <w:pPr>
        <w:pStyle w:val="ListBullet"/>
        <w:spacing w:after="40"/>
      </w:pPr>
      <w:r>
        <w:t>Problem, notice, or deadline</w:t>
      </w:r>
    </w:p>
    <w:p>
      <w:pPr>
        <w:pStyle w:val="ListBullet"/>
        <w:spacing w:after="40"/>
      </w:pPr>
      <w:r>
        <w:t>Not sure—guide me</w:t>
      </w:r>
    </w:p>
    <w:p>
      <w:r>
        <w:t>Status: Approved wording for the relevant business paths. Not sure—guide me is exclusive. Position this question where it helps the chosen path; the revised sequence identifies the support area before detailed business questions.</w:t>
      </w:r>
    </w:p>
    <w:p>
      <w:r>
        <w:t>Why: Launch preparation, ongoing work, a Provider change and an existing problem can require different services even when the countries and products are the same. The reason is not evidence that any legal obligation applies.</w:t>
      </w:r>
    </w:p>
    <w:p>
      <w:pPr>
        <w:pStyle w:val="Heading2"/>
      </w:pPr>
      <w:r>
        <w:t>Relevant shared answers</w:t>
      </w:r>
    </w:p>
    <w:p>
      <w:r>
        <w:t>Shared means asked once and reused wherever relevant. It does not mean every user answers every question. The intended flow is context, category choice or guided discovery, relevant shared facts, specific follow-ups, needs summary and Provider matching. Existing entry links may preselect context or category without bypassing missing essential facts.</w:t>
      </w:r>
    </w:p>
    <w:p>
      <w:r>
        <w:t>Existing arrangements are checked within each relevant category. A user may already have a tax Provider and need new product-compliance support. Do not replace this with one global yes or no question.</w:t>
      </w:r>
    </w:p>
    <w:p>
      <w:pPr>
        <w:pStyle w:val="Heading1"/>
        <w:pageBreakBefore/>
      </w:pPr>
      <w:r>
        <w:t>3 Shared facts and conditional geography</w:t>
      </w:r>
    </w:p>
    <w:p>
      <w:pPr>
        <w:pStyle w:val="Heading2"/>
      </w:pPr>
      <w:r>
        <w:t>Business establishment</w:t>
      </w:r>
    </w:p>
    <w:p>
      <w:r>
        <w:rPr>
          <w:b/>
        </w:rPr>
        <w:t>Where is your business established?</w:t>
      </w:r>
    </w:p>
    <w:p>
      <w:r>
        <w:t>Select the country or countries where your business is legally established.</w:t>
      </w:r>
    </w:p>
    <w:p>
      <w:pPr>
        <w:pStyle w:val="ListBullet"/>
        <w:spacing w:after="40"/>
      </w:pPr>
      <w:r>
        <w:t>Choose country/countries</w:t>
      </w:r>
    </w:p>
    <w:p>
      <w:pPr>
        <w:pStyle w:val="ListBullet"/>
        <w:spacing w:after="40"/>
      </w:pPr>
      <w:r>
        <w:t>Not established yet</w:t>
      </w:r>
    </w:p>
    <w:p>
      <w:pPr>
        <w:pStyle w:val="ListBullet"/>
        <w:spacing w:after="40"/>
      </w:pPr>
      <w:r>
        <w:t>Not sure</w:t>
      </w:r>
    </w:p>
    <w:p>
      <w:r>
        <w:t>Status: Approved wording for relevant business paths. Group countries by region; retain exact country identifiers. Not established yet and Not sure are exclusive.</w:t>
      </w:r>
    </w:p>
    <w:p>
      <w:r>
        <w:t>Conditional follow-up: Where are you planning to establish it? Options: Choose country/countries; Still deciding. This follow-up is approved for Not established yet.</w:t>
      </w:r>
    </w:p>
    <w:p>
      <w:r>
        <w:t>Why: Establishment and customer markets are separate facts. Confirm how the existing data model represents one entity, several entities, branches and service-country coverage. Do not collapse different location relationships into the first selected market.</w:t>
      </w:r>
    </w:p>
    <w:p>
      <w:pPr>
        <w:pStyle w:val="Heading2"/>
      </w:pPr>
      <w:r>
        <w:t>Current and planned customer markets</w:t>
      </w:r>
    </w:p>
    <w:p>
      <w:r>
        <w:t>Where do you sell today? Options: Choose country/countries; Not selling yet; Not sure. Helper text: Select the countries where your customers are located.</w:t>
      </w:r>
    </w:p>
    <w:p>
      <w:r>
        <w:t>Any new markets planned? Options: Choose country/countries; No new markets planned; Still deciding.</w:t>
      </w:r>
    </w:p>
    <w:p>
      <w:r>
        <w:t>For Not selling yet, use Where do you plan to sell? Options: Choose country/countries; Still deciding.</w:t>
      </w:r>
    </w:p>
    <w:p>
      <w:r>
        <w:t>Status: Proposed wording for relevant business paths. This wording was discussed but not separately approved. Do not ask sales questions when they do not help the selected service, such as a narrowly scoped contract review.</w:t>
      </w:r>
    </w:p>
    <w:p>
      <w:r>
        <w:t>Why: Current activity and future expansion can affect service scope and timing. Keep current, planned and unknown locations distinct; do not assume that an establishment country is a customer market.</w:t>
      </w:r>
    </w:p>
    <w:p>
      <w:pPr>
        <w:pStyle w:val="Heading2"/>
      </w:pPr>
      <w:r>
        <w:t>Other shared subjects to develop later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920"/>
      </w:tblGrid>
      <w:tr>
        <w:trPr>
          <w:cantSplit/>
          <w:tblHeader/>
        </w:trPr>
        <w:tc>
          <w:tcPr>
            <w:tcW w:type="dxa" w:w="2232"/>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Subject</w:t>
            </w:r>
          </w:p>
        </w:tc>
        <w:tc>
          <w:tcPr>
            <w:tcW w:type="dxa" w:w="7920"/>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Design direction</w:t>
            </w:r>
          </w:p>
        </w:tc>
      </w:tr>
      <w:tr>
        <w:trPr>
          <w:cantSplit/>
        </w:trPr>
        <w:tc>
          <w:tcPr>
            <w:tcW w:type="dxa" w:w="2232"/>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Products or services</w:t>
            </w:r>
          </w:p>
        </w:tc>
        <w:tc>
          <w:tcPr>
            <w:tcW w:type="dxa" w:w="7920"/>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Physical goods, digital products or software, services, and combinations; exact options remain to be developed.</w:t>
            </w:r>
          </w:p>
        </w:tc>
      </w:tr>
      <w:tr>
        <w:trPr>
          <w:cantSplit/>
        </w:trPr>
        <w:tc>
          <w:tcPr>
            <w:tcW w:type="dxa" w:w="2232"/>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Customer types</w:t>
            </w:r>
          </w:p>
        </w:tc>
        <w:tc>
          <w:tcPr>
            <w:tcW w:type="dxa" w:w="7920"/>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Consumers, businesses, both, or an appropriate uncertainty choice.</w:t>
            </w:r>
          </w:p>
        </w:tc>
      </w:tr>
      <w:tr>
        <w:trPr>
          <w:cantSplit/>
        </w:trPr>
        <w:tc>
          <w:tcPr>
            <w:tcW w:type="dxa" w:w="2232"/>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Sales channels</w:t>
            </w:r>
          </w:p>
        </w:tc>
        <w:tc>
          <w:tcPr>
            <w:tcW w:type="dxa" w:w="7920"/>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Separate selling through a marketplace from operating a marketplace. Preserve all relevant channels and activities.</w:t>
            </w:r>
          </w:p>
        </w:tc>
      </w:tr>
      <w:tr>
        <w:trPr>
          <w:cantSplit/>
        </w:trPr>
        <w:tc>
          <w:tcPr>
            <w:tcW w:type="dxa" w:w="2232"/>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Physical operations</w:t>
            </w:r>
          </w:p>
        </w:tc>
        <w:tc>
          <w:tcPr>
            <w:tcW w:type="dxa" w:w="7920"/>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Ask product type, manufacturing, storage and shipping locations only when relevant; reuse across tax, EPR, product and customs.</w:t>
            </w:r>
          </w:p>
        </w:tc>
      </w:tr>
      <w:tr>
        <w:trPr>
          <w:cantSplit/>
        </w:trPr>
        <w:tc>
          <w:tcPr>
            <w:tcW w:type="dxa" w:w="2232"/>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Provider fit</w:t>
            </w:r>
          </w:p>
        </w:tc>
        <w:tc>
          <w:tcPr>
            <w:tcW w:type="dxa" w:w="7920"/>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Use existing supported fields for service, timing, language and support-channel preferences. Budget and further detail remain subject to design and compatibility review.</w:t>
            </w:r>
          </w:p>
        </w:tc>
      </w:tr>
    </w:tbl>
    <w:p>
      <w:pPr>
        <w:spacing w:after="20"/>
      </w:pPr>
      <w:r/>
    </w:p>
    <w:p>
      <w:pPr>
        <w:pStyle w:val="Heading1"/>
        <w:pageBreakBefore/>
      </w:pPr>
      <w:r>
        <w:t>4 Category catalogue and scope decisions</w:t>
      </w:r>
    </w:p>
    <w:p>
      <w:r>
        <w:t>The October 15 inventory reports these nine live wizard categories. Use them as the audit baseline and confirm their mapping to the actual current Provider catalogue. Do not create, merge or rename categories during this audit. [S1]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68"/>
        <w:gridCol w:w="5184"/>
      </w:tblGrid>
      <w:tr>
        <w:trPr>
          <w:cantSplit/>
          <w:tblHeader/>
        </w:trPr>
        <w:tc>
          <w:tcPr>
            <w:tcW w:type="dxa" w:w="4968"/>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Current category</w:t>
            </w:r>
          </w:p>
        </w:tc>
        <w:tc>
          <w:tcPr>
            <w:tcW w:type="dxa" w:w="5184"/>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Wizard identifier</w:t>
            </w:r>
          </w:p>
        </w:tc>
      </w:tr>
      <w:tr>
        <w:trPr>
          <w:cantSplit/>
        </w:trPr>
        <w:tc>
          <w:tcPr>
            <w:tcW w:type="dxa" w:w="496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Tax &amp; VAT</w:t>
            </w:r>
          </w:p>
        </w:tc>
        <w:tc>
          <w:tcPr>
            <w:tcW w:type="dxa" w:w="518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tax-vat</w:t>
            </w:r>
          </w:p>
        </w:tc>
      </w:tr>
      <w:tr>
        <w:trPr>
          <w:cantSplit/>
        </w:trPr>
        <w:tc>
          <w:tcPr>
            <w:tcW w:type="dxa" w:w="496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EPR &amp; Packaging</w:t>
            </w:r>
          </w:p>
        </w:tc>
        <w:tc>
          <w:tcPr>
            <w:tcW w:type="dxa" w:w="518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product-packaging</w:t>
            </w:r>
          </w:p>
        </w:tc>
      </w:tr>
      <w:tr>
        <w:trPr>
          <w:cantSplit/>
        </w:trPr>
        <w:tc>
          <w:tcPr>
            <w:tcW w:type="dxa" w:w="496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Data &amp; Privacy</w:t>
            </w:r>
          </w:p>
        </w:tc>
        <w:tc>
          <w:tcPr>
            <w:tcW w:type="dxa" w:w="518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data-privacy</w:t>
            </w:r>
          </w:p>
        </w:tc>
      </w:tr>
      <w:tr>
        <w:trPr>
          <w:cantSplit/>
        </w:trPr>
        <w:tc>
          <w:tcPr>
            <w:tcW w:type="dxa" w:w="496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Marketing Compliance</w:t>
            </w:r>
          </w:p>
        </w:tc>
        <w:tc>
          <w:tcPr>
            <w:tcW w:type="dxa" w:w="518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marketing-seo</w:t>
            </w:r>
          </w:p>
        </w:tc>
      </w:tr>
      <w:tr>
        <w:trPr>
          <w:cantSplit/>
        </w:trPr>
        <w:tc>
          <w:tcPr>
            <w:tcW w:type="dxa" w:w="496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Company Setup &amp; Filings</w:t>
            </w:r>
          </w:p>
        </w:tc>
        <w:tc>
          <w:tcPr>
            <w:tcW w:type="dxa" w:w="518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corporate-structure</w:t>
            </w:r>
          </w:p>
        </w:tc>
      </w:tr>
      <w:tr>
        <w:trPr>
          <w:cantSplit/>
        </w:trPr>
        <w:tc>
          <w:tcPr>
            <w:tcW w:type="dxa" w:w="496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Product Compliance</w:t>
            </w:r>
          </w:p>
        </w:tc>
        <w:tc>
          <w:tcPr>
            <w:tcW w:type="dxa" w:w="518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product-compliance</w:t>
            </w:r>
          </w:p>
        </w:tc>
      </w:tr>
      <w:tr>
        <w:trPr>
          <w:cantSplit/>
        </w:trPr>
        <w:tc>
          <w:tcPr>
            <w:tcW w:type="dxa" w:w="496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Logistics &amp; Customs</w:t>
            </w:r>
          </w:p>
        </w:tc>
        <w:tc>
          <w:tcPr>
            <w:tcW w:type="dxa" w:w="518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logistics-customs</w:t>
            </w:r>
          </w:p>
        </w:tc>
      </w:tr>
      <w:tr>
        <w:trPr>
          <w:cantSplit/>
        </w:trPr>
        <w:tc>
          <w:tcPr>
            <w:tcW w:type="dxa" w:w="496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Legal Support</w:t>
            </w:r>
          </w:p>
        </w:tc>
        <w:tc>
          <w:tcPr>
            <w:tcW w:type="dxa" w:w="518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legal-advisory</w:t>
            </w:r>
          </w:p>
        </w:tc>
      </w:tr>
      <w:tr>
        <w:trPr>
          <w:cantSplit/>
        </w:trPr>
        <w:tc>
          <w:tcPr>
            <w:tcW w:type="dxa" w:w="496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Environmental Compliance</w:t>
            </w:r>
          </w:p>
        </w:tc>
        <w:tc>
          <w:tcPr>
            <w:tcW w:type="dxa" w:w="518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environment</w:t>
            </w:r>
          </w:p>
        </w:tc>
      </w:tr>
    </w:tbl>
    <w:p>
      <w:pPr>
        <w:spacing w:after="20"/>
      </w:pPr>
      <w:r/>
    </w:p>
    <w:p>
      <w:r>
        <w:t>Category screen proposal: What do you need help with? Users may choose one or more categories, or the exclusive Help me identify what I need option. Category-page entries can preselect the existing category. This screen and its short card descriptions remain proposals awaiting final approval.</w:t>
      </w:r>
    </w:p>
    <w:p>
      <w:r>
        <w:t>Why: A user who knows the area should reach relevant questions quickly. A user who needs guidance should receive factual choices that help identify areas worth assessing. A suggested category is not a confirmed obligation.</w:t>
      </w:r>
    </w:p>
    <w:p>
      <w:pPr>
        <w:pStyle w:val="Heading2"/>
      </w:pPr>
      <w:r>
        <w:t>Personal matters and users without companies</w:t>
      </w:r>
    </w:p>
    <w:p>
      <w:r>
        <w:t>The September platform fact sheet includes businesses and individuals in its intended audience. The later User Terms of Use Lawyer Review Draft 3 defines permitted use around an existing or planned business, professional or commercial activity and excludes matters primarily for personal, family or household purposes. [S5, S6]</w:t>
      </w:r>
    </w:p>
    <w:p>
      <w:r>
        <w:t>The Personal matter route is therefore on hold. Report the implemented behavior and the inconsistency; obtain a founder scope decision before recommending that route. Do not amend the terms, promise private legal services or expand the service catalogue. Users without a formed company who have an existing or planned business purpose remain a separate, supported-in-principle audience under that draft.</w:t>
      </w:r>
    </w:p>
    <w:p>
      <w:pPr>
        <w:pStyle w:val="Heading2"/>
      </w:pPr>
      <w:r>
        <w:t>Catalogue questions to resolve</w:t>
      </w:r>
    </w:p>
    <w:p>
      <w:pPr>
        <w:pStyle w:val="ListBullet"/>
      </w:pPr>
      <w:r>
        <w:t>Confirm the authoritative category and service list. Older website and Provider specifications list eight areas; the current wizard has nine. The fact sheet also mentions labeling and translation. Do not infer a new main category from older planning text.</w:t>
      </w:r>
    </w:p>
    <w:p>
      <w:pPr>
        <w:pStyle w:val="ListBullet"/>
      </w:pPr>
      <w:r>
        <w:t>The inventory maps EPR and Product Compliance to the same PRODUCT engine domain. Confirm whether their specific services remain distinct in Provider matching.</w:t>
      </w:r>
    </w:p>
    <w:p>
      <w:pPr>
        <w:pStyle w:val="ListBullet"/>
      </w:pPr>
      <w:r>
        <w:t>Clarify the existing boundaries between EPR, Product Compliance and Environmental, and between Privacy and Marketing, so facts are reused without duplicating or substituting services.</w:t>
      </w:r>
    </w:p>
    <w:p>
      <w:pPr>
        <w:pStyle w:val="Heading1"/>
        <w:pageBreakBefore/>
      </w:pPr>
      <w:r>
        <w:t>5 Current implementation inventory required</w:t>
      </w:r>
    </w:p>
    <w:p>
      <w:r>
        <w:t>Inspect the actual repository, contracts and data structure. For every finding, include a file path and symbol, schema or configuration reference. Give the repository, branch, commit and audit date; explain relevant differences from inventory commit 6cb20049. Do not present the supplied inventory as independently verified code evidence.</w:t>
      </w:r>
    </w:p>
    <w:p>
      <w:pPr>
        <w:pStyle w:val="Heading2"/>
      </w:pPr>
      <w:r>
        <w:t>Entry points and user journeys</w:t>
      </w:r>
    </w:p>
    <w:p>
      <w:pPr>
        <w:pStyle w:val="ListBullet"/>
      </w:pPr>
      <w:r>
        <w:t>Trace the full-page wizard, workspace drawer, category and market preselection, refine mode, saved-session reopening, duplication and answer editing. Include hero demonstrations and any shared component that would change with the wizard.</w:t>
      </w:r>
    </w:p>
    <w:p>
      <w:pPr>
        <w:pStyle w:val="ListBullet"/>
      </w:pPr>
      <w:r>
        <w:t>Record URL parameters, required navigation state, result destinations, authentication gates and existing draft restoration. Identify business assumptions in registration, saving and booking.</w:t>
      </w:r>
    </w:p>
    <w:p>
      <w:pPr>
        <w:pStyle w:val="ListBullet"/>
      </w:pPr>
      <w:r>
        <w:t>For each proposed branch, explain whether the existing journey can accept missing or irrelevant business fields without invented values.</w:t>
      </w:r>
    </w:p>
    <w:p>
      <w:pPr>
        <w:pStyle w:val="Heading2"/>
      </w:pPr>
      <w:r>
        <w:t>Actual answer and API contracts</w:t>
      </w:r>
    </w:p>
    <w:p>
      <w:pPr>
        <w:pStyle w:val="ListBullet"/>
      </w:pPr>
      <w:r>
        <w:t>Return the implemented SearchProfile fields, types, permitted values, required fields and defaults. Separate fields merely declared from fields actually populated, validated or consumed.</w:t>
      </w:r>
    </w:p>
    <w:p>
      <w:pPr>
        <w:pStyle w:val="ListBullet"/>
      </w:pPr>
      <w:r>
        <w:t>Return the accepted request and response structures for search and session creation, update, reopen and duplication. Include anonymized working examples, stable category and country identifiers, supported jurisdiction granularity and coverage indicators.</w:t>
      </w:r>
    </w:p>
    <w:p>
      <w:pPr>
        <w:pStyle w:val="ListBullet"/>
      </w:pPr>
      <w:r>
        <w:t>Confirm industry, businessModel, businessType and businessTypeNote mapping. Identify support for multiple activities, channels, current versus planned markets, establishment and stock locations, user stage, goals, urgency and category-specific details.</w:t>
      </w:r>
    </w:p>
    <w:p>
      <w:pPr>
        <w:pStyle w:val="ListBullet"/>
      </w:pPr>
      <w:r>
        <w:t>Specify existing treatment of unknown, not applicable, not yet, missing fields, an unknown category and unsupported markets. Identify whether a real guided-discovery mode exists.</w:t>
      </w:r>
    </w:p>
    <w:p>
      <w:pPr>
        <w:pStyle w:val="Heading2"/>
      </w:pPr>
      <w:r>
        <w:t>Answer processing and result meaning</w:t>
      </w:r>
    </w:p>
    <w:p>
      <w:r>
        <w:t>Trace each input through validation, applicability rules, Risk Map output, Provider eligibility, ranking and explanations. Identify precisely where consumption stops. Saving a value as JSON does not prove it changes an assessment or match.</w:t>
      </w:r>
    </w:p>
    <w:p>
      <w:r>
        <w:t>Record the exact existing status and priority keys, their meanings and the evidence supporting each status. Verify empty results, partial coverage and open-question behavior. Category interest alone must not be treated as proof of a requirement. Do not change shared constants during this audit.</w:t>
      </w:r>
    </w:p>
    <w:p>
      <w:pPr>
        <w:pStyle w:val="Heading2"/>
      </w:pPr>
      <w:r>
        <w:t>Persistence and existing displays</w:t>
      </w:r>
    </w:p>
    <w:p>
      <w:r>
        <w:t>Explain which fields are authoritative after refresh, sign-in, reopening, editing or duplication. Trace complete answers into the existing user workspace, anonymous results, Provider assessment summary and booking handover. Identify which extra structured answers can already be stored and displayed without changes elsewhere.</w:t>
      </w:r>
    </w:p>
    <w:p>
      <w:pPr>
        <w:pStyle w:val="Heading1"/>
        <w:pageBreakBefore/>
      </w:pPr>
      <w:r>
        <w:t>6 Provider matching and compatibility evidence</w:t>
      </w:r>
    </w:p>
    <w:p>
      <w:r>
        <w:t>The Provider specifications describe detailed service records and matching factors. Confirm which are implemented, populated, approved where required and actually consumed. A documented intention or empty database field is not an available matching capability. [S3, S4]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704"/>
      </w:tblGrid>
      <w:tr>
        <w:trPr>
          <w:cantSplit/>
          <w:tblHeader/>
        </w:trPr>
        <w:tc>
          <w:tcPr>
            <w:tcW w:type="dxa" w:w="2448"/>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Existing capability to inspect</w:t>
            </w:r>
          </w:p>
        </w:tc>
        <w:tc>
          <w:tcPr>
            <w:tcW w:type="dxa" w:w="7704"/>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Evidence required</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Service and coverage</w:t>
            </w:r>
          </w:p>
        </w:tc>
        <w:tc>
          <w:tcPr>
            <w:tcW w:type="dxa" w:w="770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Main category, subcategory, stable service code, countries and jurisdictions, approval per service-country combination, exclusions and prerequisites.</w:t>
            </w:r>
          </w:p>
        </w:tc>
      </w:tr>
      <w:tr>
        <w:trPr>
          <w:cantSplit/>
        </w:trPr>
        <w:tc>
          <w:tcPr>
            <w:tcW w:type="dxa" w:w="244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Customer and activity fit</w:t>
            </w:r>
          </w:p>
        </w:tc>
        <w:tc>
          <w:tcPr>
            <w:tcW w:type="dxa" w:w="770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Client types, founders or self-employed users, industries, products, B2B or B2C, marketplaces and channels. Confirm whether personal users or practices are currently included.</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Delivery and availability</w:t>
            </w:r>
          </w:p>
        </w:tc>
        <w:tc>
          <w:tcPr>
            <w:tcW w:type="dxa" w:w="770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Response time, service completion, current capacity, availability and deadline restrictions; distinguish displayed text from structured filters.</w:t>
            </w:r>
          </w:p>
        </w:tc>
      </w:tr>
      <w:tr>
        <w:trPr>
          <w:cantSplit/>
        </w:trPr>
        <w:tc>
          <w:tcPr>
            <w:tcW w:type="dxa" w:w="244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Language and support</w:t>
            </w:r>
          </w:p>
        </w:tc>
        <w:tc>
          <w:tcPr>
            <w:tcW w:type="dxa" w:w="770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Supported language and channel, hours and time zone, availability before or after engagement and any service-specific limits.</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Commercial service fit</w:t>
            </w:r>
          </w:p>
        </w:tc>
        <w:tc>
          <w:tcPr>
            <w:tcW w:type="dxa" w:w="770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Existing price basis, currency, price range, minimum engagement, one-time or recurring service and treatment of pass-through costs.</w:t>
            </w:r>
          </w:p>
        </w:tc>
      </w:tr>
      <w:tr>
        <w:trPr>
          <w:cantSplit/>
        </w:trPr>
        <w:tc>
          <w:tcPr>
            <w:tcW w:type="dxa" w:w="2448"/>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Eligibility and ranking</w:t>
            </w:r>
          </w:p>
        </w:tc>
        <w:tc>
          <w:tcPr>
            <w:tcW w:type="dxa" w:w="7704"/>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Hard exclusions, ranking factors, missing-data behavior, scoring or fit explanations and safeguards against commercial influence.</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Data already available</w:t>
            </w:r>
          </w:p>
        </w:tc>
        <w:tc>
          <w:tcPr>
            <w:tcW w:type="dxa" w:w="7704"/>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Anonymized example records plus a field-by-field indication of whether approved active Providers have usable values. Avoid exporting personal or confidential verification material.</w:t>
            </w:r>
          </w:p>
        </w:tc>
      </w:tr>
    </w:tbl>
    <w:p>
      <w:pPr>
        <w:spacing w:after="20"/>
      </w:pPr>
      <w:r/>
    </w:p>
    <w:p>
      <w:pPr>
        <w:pStyle w:val="Heading2"/>
      </w:pPr>
      <w:r>
        <w:t>Boundaries to preserve</w:t>
      </w:r>
    </w:p>
    <w:p>
      <w:pPr>
        <w:pStyle w:val="ListBullet"/>
      </w:pPr>
      <w:r>
        <w:t>Subscription and commercial arrangements must not improve organic ranking. Preserve current category eligibility, verification, billing and lead-fee rules. New complexity answers must not silently alter charges.</w:t>
      </w:r>
    </w:p>
    <w:p>
      <w:pPr>
        <w:pStyle w:val="ListBullet"/>
      </w:pPr>
      <w:r>
        <w:t>Preserve standardized anonymous comparison and existing identity-release conditions. Language or support preference does not authorize marketing or disclosure of direct contact details.</w:t>
      </w:r>
    </w:p>
    <w:p>
      <w:pPr>
        <w:pStyle w:val="ListBullet"/>
      </w:pPr>
      <w:r>
        <w:t>Keep all existing booking and user-information sharing controls. More wizard answers must not automatically enlarge the information released to Providers.</w:t>
      </w:r>
    </w:p>
    <w:p>
      <w:pPr>
        <w:pStyle w:val="ListBullet"/>
      </w:pPr>
      <w:r>
        <w:t>A question that only improves the existing consultation summary must be identified as context. Do not describe it as an automated ranking improvement.</w:t>
      </w:r>
    </w:p>
    <w:p>
      <w:pPr>
        <w:pStyle w:val="ListBullet"/>
      </w:pPr>
      <w:r>
        <w:t>If compatibility requires a new Provider field, migration, external display, engine feature or change to a booking contract, record the dependency and propose narrowing or deferring the question. Do not implement that dependency.</w:t>
      </w:r>
    </w:p>
    <w:p>
      <w:pPr>
        <w:pStyle w:val="Heading1"/>
        <w:pageBreakBefore/>
      </w:pPr>
      <w:r>
        <w:t>7 Reported issues to verify</w:t>
      </w:r>
    </w:p>
    <w:p>
      <w:r>
        <w:t>These findings are reported in the supplied inventory, not newly confirmed defects. Mark each as confirmed, resolved, not reproduced or unverified. Cite current evidence and identify whether any repair can remain within the wizard boundary. Report separately from proposed question improvements. [S1]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91"/>
        <w:gridCol w:w="9461"/>
      </w:tblGrid>
      <w:tr>
        <w:trPr>
          <w:cantSplit/>
          <w:tblHeader/>
        </w:trPr>
        <w:tc>
          <w:tcPr>
            <w:tcW w:type="dxa" w:w="691"/>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ID</w:t>
            </w:r>
          </w:p>
        </w:tc>
        <w:tc>
          <w:tcPr>
            <w:tcW w:type="dxa" w:w="9461"/>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Inventory finding and audit question</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B1</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Multiple activity choices are displayed but only the first is saved. Verify selection, serialization and editing rules.</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B2</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Wizard businessType does not reach backend industry/businessModel processing. Confirm accepted fields and actual effects.</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B3</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Hero visual shows outdated categories and Full Coverage. Identify shared-component effects without redesigning the homepage.</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B4</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English and German give different market-coverage promises. Verify current wording and actual coverage behavior.</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B5</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Additional markets use names instead of canonical codes and are discarded. Trace selection, storage, search and display.</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B6</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Demo Skip &amp; route differs from interactive Next. Identify current behavior and any dependency on new branching.</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B7</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Sign-in email failures still show success; incomplete draft restoration is unreliable. Verify both claims separately.</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B8</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Two markets automatically produce EU scope, including US plus Türkiye. Confirm whether any consumer uses this field.</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B9</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Open-question control opens account creation instead of a follow-up. Confirm the actual supported clarification path.</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B10</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Registration repeats inconsistent markets, activities and categories; goals and urgency do not reach SearchProfile.</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B11</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Several declared profile fields are never filled. Identify fields that are stored, consumed, unused or obsolete.</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B12</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Empty input can become a German assessment through defaults. Check empty, category-only and unsupported-market entries.</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B13</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Domain-count comment differs from the actual nine-value category union. Locate the canonical catalogue.</w:t>
            </w:r>
          </w:p>
        </w:tc>
      </w:tr>
      <w:tr>
        <w:trPr>
          <w:cantSplit/>
        </w:trPr>
        <w:tc>
          <w:tcPr>
            <w:tcW w:type="dxa" w:w="69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B14</w:t>
            </w:r>
          </w:p>
        </w:tc>
        <w:tc>
          <w:tcPr>
            <w:tcW w:type="dxa" w:w="9461"/>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Wizard completion and abandonment events are absent. Confirm current analytics without adding tracking in this audit.</w:t>
            </w:r>
          </w:p>
        </w:tc>
      </w:tr>
      <w:tr>
        <w:trPr>
          <w:cantSplit/>
        </w:trPr>
        <w:tc>
          <w:tcPr>
            <w:tcW w:type="dxa" w:w="69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B15</w:t>
            </w:r>
          </w:p>
        </w:tc>
        <w:tc>
          <w:tcPr>
            <w:tcW w:type="dxa" w:w="9461"/>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Workspace wizard drawer lacks a progress indicator. Confirm current component options and conditional-path implications.</w:t>
            </w:r>
          </w:p>
        </w:tc>
      </w:tr>
    </w:tbl>
    <w:p>
      <w:pPr>
        <w:spacing w:after="20"/>
      </w:pPr>
      <w:r/>
    </w:p>
    <w:p>
      <w:r>
        <w:t>Additional checks from the data-flow review: saved-answer edits may be overridden by stale top-level session fields; selected categories may become confirmed requirements; EPR and product services may lose useful distinctions through the shared PRODUCT domain. Verify each independently.</w:t>
      </w:r>
    </w:p>
    <w:p>
      <w:pPr>
        <w:pStyle w:val="Heading1"/>
        <w:pageBreakBefore/>
      </w:pPr>
      <w:r>
        <w:t>8 Required report and verification scenarios</w:t>
      </w:r>
    </w:p>
    <w:p>
      <w:pPr>
        <w:pStyle w:val="Heading2"/>
      </w:pPr>
      <w:r>
        <w:t>Report structure</w:t>
      </w:r>
    </w:p>
    <w:p>
      <w:r>
        <w:t>Return one report with: current implementation summary; canonical catalogues and contracts; the question mapping below; confirmed and unresolved findings; scope decisions for Demet; and verification scenarios. Include small anonymized JSON examples and code references in the report or a clearly labeled appendix.</w:t>
      </w:r>
    </w:p>
    <w:p>
      <w:r>
        <w:t>For every proposed question or change, provide these fields in a comparison table or repeated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776"/>
      </w:tblGrid>
      <w:tr>
        <w:trPr>
          <w:cantSplit/>
          <w:tblHeader/>
        </w:trPr>
        <w:tc>
          <w:tcPr>
            <w:tcW w:type="dxa" w:w="2376"/>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Field</w:t>
            </w:r>
          </w:p>
        </w:tc>
        <w:tc>
          <w:tcPr>
            <w:tcW w:type="dxa" w:w="7776"/>
            <w:vAlign w:val="center"/>
            <w:tcMar>
              <w:top w:w="85" w:type="dxa"/>
              <w:left w:w="85" w:type="dxa"/>
              <w:bottom w:w="85" w:type="dxa"/>
              <w:right w:w="85" w:type="dxa"/>
            </w:tcMar>
            <w:shd w:fill="17354D"/>
          </w:tcPr>
          <w:p>
            <w:pPr>
              <w:spacing w:after="20" w:before="20" w:line="240" w:lineRule="auto"/>
            </w:pPr>
            <w:r>
              <w:rPr>
                <w:rFonts w:ascii="Calibri" w:hAnsi="Calibri"/>
                <w:b/>
                <w:color w:val="FFFFFF"/>
                <w:sz w:val="20"/>
              </w:rPr>
              <w:t>Required content</w:t>
            </w:r>
          </w:p>
        </w:tc>
      </w:tr>
      <w:tr>
        <w:trPr>
          <w:cantSplit/>
        </w:trPr>
        <w:tc>
          <w:tcPr>
            <w:tcW w:type="dxa" w:w="2376"/>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Identity and decision status</w:t>
            </w:r>
          </w:p>
        </w:tc>
        <w:tc>
          <w:tcPr>
            <w:tcW w:type="dxa" w:w="7776"/>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Question or change ID; exact wording; approved, proposed or on hold; applicable user path.</w:t>
            </w:r>
          </w:p>
        </w:tc>
      </w:tr>
      <w:tr>
        <w:trPr>
          <w:cantSplit/>
        </w:trPr>
        <w:tc>
          <w:tcPr>
            <w:tcW w:type="dxa" w:w="2376"/>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Existing representation</w:t>
            </w:r>
          </w:p>
        </w:tc>
        <w:tc>
          <w:tcPr>
            <w:tcW w:type="dxa" w:w="7776"/>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Current field, type and permitted values; required or optional; missing and unknown handling.</w:t>
            </w:r>
          </w:p>
        </w:tc>
      </w:tr>
      <w:tr>
        <w:trPr>
          <w:cantSplit/>
        </w:trPr>
        <w:tc>
          <w:tcPr>
            <w:tcW w:type="dxa" w:w="2376"/>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Actual downstream use</w:t>
            </w:r>
          </w:p>
        </w:tc>
        <w:tc>
          <w:tcPr>
            <w:tcW w:type="dxa" w:w="7776"/>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Rules, Provider eligibility, ranking, consultation context and existing displays; identify each separately.</w:t>
            </w:r>
          </w:p>
        </w:tc>
      </w:tr>
      <w:tr>
        <w:trPr>
          <w:cantSplit/>
        </w:trPr>
        <w:tc>
          <w:tcPr>
            <w:tcW w:type="dxa" w:w="2376"/>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Persistence</w:t>
            </w:r>
          </w:p>
        </w:tc>
        <w:tc>
          <w:tcPr>
            <w:tcW w:type="dxa" w:w="7776"/>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Create, save, refresh, edit, duplicate, reopen and authentication return behavior.</w:t>
            </w:r>
          </w:p>
        </w:tc>
      </w:tr>
      <w:tr>
        <w:trPr>
          <w:cantSplit/>
        </w:trPr>
        <w:tc>
          <w:tcPr>
            <w:tcW w:type="dxa" w:w="2376"/>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Compatibility verdict</w:t>
            </w:r>
          </w:p>
        </w:tc>
        <w:tc>
          <w:tcPr>
            <w:tcW w:type="dxa" w:w="7776"/>
            <w:vAlign w:val="center"/>
            <w:tcMar>
              <w:top w:w="85" w:type="dxa"/>
              <w:left w:w="85" w:type="dxa"/>
              <w:bottom w:w="85" w:type="dxa"/>
              <w:right w:w="85" w:type="dxa"/>
            </w:tcMar>
            <w:shd w:fill="FFFFFF"/>
          </w:tcPr>
          <w:p>
            <w:pPr>
              <w:spacing w:after="20" w:before="20" w:line="240" w:lineRule="auto"/>
            </w:pPr>
            <w:r>
              <w:rPr>
                <w:rFonts w:ascii="Calibri" w:hAnsi="Calibri"/>
                <w:b w:val="0"/>
                <w:color w:val="000000"/>
                <w:sz w:val="20"/>
              </w:rPr>
              <w:t>Wizard only supported; Requires a change elsewhere; Unsupported; or Unverified. Explain each dependency.</w:t>
            </w:r>
          </w:p>
        </w:tc>
      </w:tr>
      <w:tr>
        <w:trPr>
          <w:cantSplit/>
        </w:trPr>
        <w:tc>
          <w:tcPr>
            <w:tcW w:type="dxa" w:w="2376"/>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Evidence and verification</w:t>
            </w:r>
          </w:p>
        </w:tc>
        <w:tc>
          <w:tcPr>
            <w:tcW w:type="dxa" w:w="7776"/>
            <w:vAlign w:val="center"/>
            <w:tcMar>
              <w:top w:w="85" w:type="dxa"/>
              <w:left w:w="85" w:type="dxa"/>
              <w:bottom w:w="85" w:type="dxa"/>
              <w:right w:w="85" w:type="dxa"/>
            </w:tcMar>
            <w:shd w:fill="F1F5F8"/>
          </w:tcPr>
          <w:p>
            <w:pPr>
              <w:spacing w:after="20" w:before="20" w:line="240" w:lineRule="auto"/>
            </w:pPr>
            <w:r>
              <w:rPr>
                <w:rFonts w:ascii="Calibri" w:hAnsi="Calibri"/>
                <w:b w:val="0"/>
                <w:color w:val="000000"/>
                <w:sz w:val="20"/>
              </w:rPr>
              <w:t>Exact code or schema reference; static inspection, test executed or not executed; observed or predicted result.</w:t>
            </w:r>
          </w:p>
        </w:tc>
      </w:tr>
    </w:tbl>
    <w:p>
      <w:pPr>
        <w:spacing w:after="20"/>
      </w:pPr>
      <w:r/>
    </w:p>
    <w:p>
      <w:pPr>
        <w:pStyle w:val="Heading2"/>
      </w:pPr>
      <w:r>
        <w:t>Scenarios to assess</w:t>
      </w:r>
    </w:p>
    <w:p>
      <w:pPr>
        <w:pStyle w:val="ListBullet"/>
      </w:pPr>
      <w:r>
        <w:t>A founder before incorporation can use relevant business services without inventing company details.</w:t>
      </w:r>
    </w:p>
    <w:p>
      <w:pPr>
        <w:pStyle w:val="ListBullet"/>
      </w:pPr>
      <w:r>
        <w:t>A business seeking only contract advice avoids irrelevant sales, product and shipping questions.</w:t>
      </w:r>
    </w:p>
    <w:p>
      <w:pPr>
        <w:pStyle w:val="ListBullet"/>
      </w:pPr>
      <w:r>
        <w:t>An Amazon seller and a marketplace operator retain distinct meanings through saving and matching.</w:t>
      </w:r>
    </w:p>
    <w:p>
      <w:pPr>
        <w:pStyle w:val="ListBullet"/>
      </w:pPr>
      <w:r>
        <w:t>An own-brand goods seller can request packaging registration and product testing without service substitution.</w:t>
      </w:r>
    </w:p>
    <w:p>
      <w:pPr>
        <w:pStyle w:val="ListBullet"/>
      </w:pPr>
      <w:r>
        <w:t>Multiple activities, current markets and planned markets survive editing, duplication and reopening.</w:t>
      </w:r>
    </w:p>
    <w:p>
      <w:pPr>
        <w:pStyle w:val="ListBullet"/>
      </w:pPr>
      <w:r>
        <w:t>An unknown category, an unsupported market and a mixed-coverage case do not produce invented defaults or unjustified reassurance.</w:t>
      </w:r>
    </w:p>
    <w:p>
      <w:pPr>
        <w:pStyle w:val="ListBullet"/>
      </w:pPr>
      <w:r>
        <w:t>Changing a detailed saved answer leads to results based on the revised complete profile.</w:t>
      </w:r>
    </w:p>
    <w:p>
      <w:pPr>
        <w:pStyle w:val="ListBullet"/>
      </w:pPr>
      <w:r>
        <w:t>A failed sign-in email request shows truthful status and preserves the recoverable draft.</w:t>
      </w:r>
    </w:p>
    <w:p>
      <w:pPr>
        <w:pStyle w:val="ListBullet"/>
      </w:pPr>
      <w:r>
        <w:t>Personal requests remain a scope decision; inspection must not introduce or activate a personal-services route.</w:t>
      </w:r>
    </w:p>
    <w:p>
      <w:r>
        <w:t>Use existing safe test facilities where available. Do not create live bookings, send messages, change records or execute chargeable actions. Static inspection does not establish that a scenario passed; state what was actually verified.</w:t>
      </w:r>
    </w:p>
    <w:p>
      <w:pPr>
        <w:pStyle w:val="Heading1"/>
        <w:pageBreakBefore/>
      </w:pPr>
      <w:r>
        <w:t>9 Sources and continuation</w:t>
      </w:r>
    </w:p>
    <w:p>
      <w:pPr>
        <w:pStyle w:val="Heading2"/>
      </w:pPr>
      <w:r>
        <w:t>Source documents</w:t>
      </w:r>
    </w:p>
    <w:p>
      <w:r>
        <w:t>Use current code as evidence of implementation. These documents supply design context and decisions. Identify any source you cannot access rather than reconstructing its contents.</w:t>
      </w:r>
    </w:p>
    <w:p>
      <w:pPr>
        <w:keepNext/>
      </w:pPr>
      <w:r/>
      <w:r>
        <w:rPr>
          <w:b/>
        </w:rPr>
        <w:t>S1  wizard-inventar-2026-10-15.md</w:t>
      </w:r>
    </w:p>
    <w:p>
      <w:r>
        <w:t>Current supplied inventory; repository complihub360-alpha, main, commit 6cb20049. Sections 2 to 5 describe the question and data flow; Section 9 contains B1 to B15.</w:t>
      </w:r>
    </w:p>
    <w:p>
      <w:pPr>
        <w:keepNext/>
      </w:pPr>
      <w:r/>
      <w:r>
        <w:rPr>
          <w:b/>
        </w:rPr>
        <w:t>S2  CompliHub360_Website_Implementation_Handover_v1.1.docx and CompliHub360_Technical_UX_Acceptance_Checklist_v1.0.docx</w:t>
      </w:r>
    </w:p>
    <w:p>
      <w:r>
        <w:t>19 September 2026. Website v1.1 is the active reference. The original website handover v1.0 is archive and product vision only.</w:t>
      </w:r>
    </w:p>
    <w:p>
      <w:pPr>
        <w:keepNext/>
      </w:pPr>
      <w:r/>
      <w:r>
        <w:rPr>
          <w:b/>
        </w:rPr>
        <w:t>S3  CompliHub360_Provider_Verification_and_Dashboard_Implementation_Specification.docx</w:t>
      </w:r>
    </w:p>
    <w:p>
      <w:r>
        <w:t>Version 1.0, 20 September 2026. Sections 10 to 15 cover service records, taxonomy, support, visibility, matching and anonymous cards.</w:t>
      </w:r>
    </w:p>
    <w:p>
      <w:pPr>
        <w:keepNext/>
      </w:pPr>
      <w:r/>
      <w:r>
        <w:rPr>
          <w:b/>
        </w:rPr>
        <w:t>S4  CompliHub360_Provider_Dashboard_Pricing_and_Operations_Implementation_Specification.docx</w:t>
      </w:r>
    </w:p>
    <w:p>
      <w:r>
        <w:t>Version 1.0, September 2026. Relevant to service-country approval, existing dashboard modules, assessment summary, booking and commercial boundaries.</w:t>
      </w:r>
    </w:p>
    <w:p>
      <w:pPr>
        <w:keepNext/>
      </w:pPr>
      <w:r/>
      <w:r>
        <w:rPr>
          <w:b/>
        </w:rPr>
        <w:t>S5  CompliHub360_Platform_and_Data_Processing_Fact_Sheet_Draft_1.docx</w:t>
      </w:r>
    </w:p>
    <w:p>
      <w:r>
        <w:t>Current retrieved file identifies its contents as Draft 3. Sections 4 to 6 include audience, category and journey assumptions requiring reconciliation with later decisions.</w:t>
      </w:r>
    </w:p>
    <w:p>
      <w:pPr>
        <w:keepNext/>
      </w:pPr>
      <w:r/>
      <w:r>
        <w:rPr>
          <w:b/>
        </w:rPr>
        <w:t>S6  CompliHub360_User_Terms_of_Use_Lawyer_Review_Draft_3.docx</w:t>
      </w:r>
    </w:p>
    <w:p>
      <w:r>
        <w:t>Current saved version dated 8 October 2026. Definitions and Section 3 distinguish business-purpose users without a company from primarily personal, family and household requests. This remains a legal-review draft.</w:t>
      </w:r>
    </w:p>
    <w:p>
      <w:pPr>
        <w:keepNext/>
      </w:pPr>
      <w:r/>
      <w:r>
        <w:rPr>
          <w:b/>
        </w:rPr>
        <w:t>S7  CompliHub360_DNA_V1.docx and CompliHub360_Developer_DNA_Website_Audit_Addendum_V2.docx</w:t>
      </w:r>
    </w:p>
    <w:p>
      <w:r>
        <w:t>August 2026. Ask only what matters, explain uncertainty and fit, preserve existing product architecture and fair competition among Providers.</w:t>
      </w:r>
    </w:p>
    <w:p>
      <w:pPr>
        <w:pStyle w:val="Heading2"/>
      </w:pPr>
      <w:r>
        <w:t>After the inventory is returned</w:t>
      </w:r>
    </w:p>
    <w:p>
      <w:r>
        <w:t>We will review compatibility findings with Demet, resolve the audience and catalogue questions, then continue refining each relevant shared question and each category branch step by step. The final developer document will explain why every section exists, its exact choices, branching, stored fields, assessment effects, matching effects and expected behavior.</w:t>
      </w:r>
    </w:p>
    <w:p>
      <w:r>
        <w:t>Only after the question set and flows are finalized will we create the complete implementation specification and the interactive flashcard-style preview. This information request is not the final wizard specification and does not activate proposed features.</w:t>
      </w:r>
    </w:p>
    <w:sectPr w:rsidR="00FC693F" w:rsidRPr="0006063C" w:rsidSect="00034616">
      <w:headerReference w:type="default" r:id="rId9"/>
      <w:footerReference w:type="default" r:id="rId10"/>
      <w:pgSz w:w="12240" w:h="15840"/>
      <w:pgMar w:top="965"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15 October 2026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COMPLIHUB360  |  WIZARD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eastAsia="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CompliHub360 Wizard Compatibility and Information Request</dc:title>
  <dc:subject>Read only implementation inventory needed to continue wizard design</dc:subject>
  <dc:creator>Demet Kale</dc:creator>
  <cp:keywords>CompliHub360 wizard Provider matching compatibility</cp:keywords>
  <dc:description>generated by python-docx</dc:description>
  <cp:lastModifiedBy/>
  <cp:revision>1</cp:revision>
  <dcterms:created xsi:type="dcterms:W3CDTF">2013-12-23T23:15:00Z</dcterms:created>
  <dcterms:modified xsi:type="dcterms:W3CDTF">2013-12-23T23:15:00Z</dcterms:modified>
  <cp:category/>
</cp:coreProperties>
</file>