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68"/>
        </w:rPr>
        <w:t>CompliHub360</w:t>
      </w:r>
    </w:p>
    <w:p>
      <w:pPr>
        <w:jc w:val="center"/>
      </w:pPr>
      <w:r>
        <w:rPr>
          <w:b w:val="0"/>
          <w:i/>
          <w:sz w:val="34"/>
        </w:rPr>
        <w:t>Always on your side.</w:t>
      </w:r>
    </w:p>
    <w:p/>
    <w:p>
      <w:pPr>
        <w:jc w:val="center"/>
      </w:pPr>
      <w:r>
        <w:rPr>
          <w:b/>
          <w:i w:val="0"/>
          <w:sz w:val="36"/>
        </w:rPr>
        <w:t>DEVELOPER DNA &amp; WEBSITE AUDIT ADDENDUM — V2</w:t>
      </w:r>
    </w:p>
    <w:p>
      <w:pPr>
        <w:jc w:val="center"/>
      </w:pPr>
      <w:r>
        <w:rPr>
          <w:b w:val="0"/>
          <w:i/>
          <w:sz w:val="24"/>
        </w:rPr>
        <w:t>Screen-by-Screen Implementation Update</w:t>
      </w:r>
    </w:p>
    <w:p>
      <w:pPr>
        <w:jc w:val="center"/>
      </w:pPr>
      <w:r>
        <w:rPr>
          <w:b w:val="0"/>
          <w:i/>
          <w:sz w:val="18"/>
        </w:rPr>
        <w:t>Based on current German desktop screenshot export — main build, 19 Aug 2026</w:t>
      </w:r>
    </w:p>
    <w:p>
      <w:r>
        <w:br w:type="page"/>
      </w:r>
    </w:p>
    <w:p>
      <w:pPr>
        <w:pStyle w:val="Heading1"/>
      </w:pPr>
      <w:r>
        <w:t>1. What This Document Replaces</w:t>
      </w:r>
    </w:p>
    <w:p>
      <w:r>
        <w:t>This V2 supersedes the generic Developer DNA Addendum V1. The original Brand &amp; Marketing Map V1 remains the strategic website baseline, and CompliHub360 DNA V1 remains the master brand source of truth.</w:t>
      </w:r>
    </w:p>
    <w:p>
      <w:r>
        <w:t>V2 is based on a direct review of the supplied screenshot export covering 38 public, user, partner, and admin routes. It identifies what already reflects the DNA, what conflicts with it, and the exact implementation direction.</w:t>
      </w:r>
    </w:p>
    <w:p>
      <w:pPr>
        <w:ind w:left="360"/>
      </w:pPr>
      <w:r>
        <w:rPr>
          <w:b/>
          <w:sz w:val="23"/>
        </w:rPr>
        <w:t>Do not redesign what is already working. Add the missing DNA and correct the places where the current product voice contradicts it.</w:t>
      </w:r>
    </w:p>
    <w:p>
      <w:pPr>
        <w:pStyle w:val="Heading1"/>
      </w:pPr>
      <w:r>
        <w:t>2. Executive Audit</w:t>
      </w:r>
    </w:p>
    <w:p>
      <w:pPr>
        <w:pStyle w:val="Heading2"/>
      </w:pPr>
      <w:r>
        <w:t>What is already strong</w:t>
      </w:r>
    </w:p>
    <w:p>
      <w:pPr>
        <w:pStyle w:val="ListBullet"/>
      </w:pPr>
      <w:r>
        <w:t>The logo already carries “Always on your side.” consistently.</w:t>
      </w:r>
    </w:p>
    <w:p>
      <w:pPr>
        <w:pStyle w:val="ListBullet"/>
      </w:pPr>
      <w:r>
        <w:t>The homepage and core public pages already lead with clarity and action rather than a provider directory.</w:t>
      </w:r>
    </w:p>
    <w:p>
      <w:pPr>
        <w:pStyle w:val="ListBullet"/>
      </w:pPr>
      <w:r>
        <w:t>The dual entry model—question/search and guided assessment—is present.</w:t>
      </w:r>
    </w:p>
    <w:p>
      <w:pPr>
        <w:pStyle w:val="ListBullet"/>
      </w:pPr>
      <w:r>
        <w:t>The Risk Map is already a strong product hero and uses urgency/severity plus match percentages.</w:t>
      </w:r>
    </w:p>
    <w:p>
      <w:pPr>
        <w:pStyle w:val="ListBullet"/>
      </w:pPr>
      <w:r>
        <w:t>Anonymous provider matching is visually established before identity reveal.</w:t>
      </w:r>
    </w:p>
    <w:p>
      <w:pPr>
        <w:pStyle w:val="ListBullet"/>
      </w:pPr>
      <w:r>
        <w:t>The pricing page strongly supports the user-first model: assessment, Risk Map, and matching are free to the user.</w:t>
      </w:r>
    </w:p>
    <w:p>
      <w:pPr>
        <w:pStyle w:val="ListBullet"/>
      </w:pPr>
      <w:r>
        <w:t>The AI Governance page already states that AI should complement experts rather than replace them.</w:t>
      </w:r>
    </w:p>
    <w:p>
      <w:pPr>
        <w:pStyle w:val="ListBullet"/>
      </w:pPr>
      <w:r>
        <w:t>The user dashboard already uses a strong returning-user pattern: “Willkommen zurück”.</w:t>
      </w:r>
    </w:p>
    <w:p>
      <w:pPr>
        <w:pStyle w:val="ListBullet"/>
      </w:pPr>
      <w:r>
        <w:t>The partner performance dashboard already makes ranking factors visible and rewards response, confirmation, match quality, and reviews.</w:t>
      </w:r>
    </w:p>
    <w:p>
      <w:pPr>
        <w:pStyle w:val="Heading2"/>
      </w:pPr>
      <w:r>
        <w:t>The biggest gaps</w:t>
      </w:r>
    </w:p>
    <w:p>
      <w:pPr>
        <w:pStyle w:val="ListBullet"/>
      </w:pPr>
      <w:r>
        <w:t>Purpose, Mission, Vision, and Why We Exist are not visibly represented in the current public-site architecture.</w:t>
      </w:r>
    </w:p>
    <w:p>
      <w:pPr>
        <w:pStyle w:val="ListBullet"/>
      </w:pPr>
      <w:r>
        <w:t>Some public copy still frames CompliHub360 too heavily around expansion, especially the Solutions page.</w:t>
      </w:r>
    </w:p>
    <w:p>
      <w:pPr>
        <w:pStyle w:val="ListBullet"/>
      </w:pPr>
      <w:r>
        <w:t>Some Risk Map language is more alarmist than the finalized DNA, including prominent penalty amounts and “critical” framing.</w:t>
      </w:r>
    </w:p>
    <w:p>
      <w:pPr>
        <w:pStyle w:val="ListBullet"/>
      </w:pPr>
      <w:r>
        <w:t>The current AI/public platform copy is technically strong but too system-centric; the new DNA requires a more human, plain-language layer.</w:t>
      </w:r>
    </w:p>
    <w:p>
      <w:pPr>
        <w:pStyle w:val="ListBullet"/>
      </w:pPr>
      <w:r>
        <w:t>The website explains AI governance, but not yet the full AI personality: professional first, human always; clear when certain, honest when uncertain; human handoff when needed.</w:t>
      </w:r>
    </w:p>
    <w:p>
      <w:pPr>
        <w:pStyle w:val="ListBullet"/>
      </w:pPr>
      <w:r>
        <w:t>The lifelong-compliance-companion vision is only partially visible. The dashboard has continuity, but the public site does not yet communicate the long-term relationship.</w:t>
      </w:r>
    </w:p>
    <w:p>
      <w:pPr>
        <w:pStyle w:val="ListBullet"/>
      </w:pPr>
      <w:r>
        <w:t>The About/Company story needs a clear home for Why We Exist, Purpose, Mission, Vision, and founder philosophy.</w:t>
      </w:r>
    </w:p>
    <w:p>
      <w:pPr>
        <w:pStyle w:val="Heading1"/>
      </w:pPr>
      <w:r>
        <w:t>3. Brand Content to Add</w:t>
      </w:r>
    </w:p>
    <w:p>
      <w:pPr>
        <w:pStyle w:val="Heading2"/>
      </w:pPr>
      <w:r>
        <w:t>Why We Exist</w:t>
      </w:r>
    </w:p>
    <w:p>
      <w:pPr>
        <w:ind w:left="360"/>
      </w:pPr>
      <w:r>
        <w:rPr>
          <w:b/>
          <w:sz w:val="23"/>
        </w:rPr>
        <w:t>Businesses making important decisions deserve someone genuinely on their side.</w:t>
      </w:r>
    </w:p>
    <w:p>
      <w:r>
        <w:t>Recommended supporting copy: CompliHub360 exists to restore balance in compliance decisions. We help businesses understand what applies, why it matters, and what to do next—before commercial interests enter the conversation.</w:t>
      </w:r>
    </w:p>
    <w:p>
      <w:pPr>
        <w:pStyle w:val="Heading2"/>
      </w:pPr>
      <w:r>
        <w:t>Purpose</w:t>
      </w:r>
    </w:p>
    <w:p>
      <w:pPr>
        <w:ind w:left="360"/>
      </w:pPr>
      <w:r>
        <w:rPr>
          <w:b/>
          <w:sz w:val="23"/>
        </w:rPr>
        <w:t>To empower businesses to make informed decisions with confidence, always putting their needs first.</w:t>
      </w:r>
    </w:p>
    <w:p>
      <w:pPr>
        <w:pStyle w:val="Heading2"/>
      </w:pPr>
      <w:r>
        <w:t>Mission</w:t>
      </w:r>
    </w:p>
    <w:p>
      <w:pPr>
        <w:ind w:left="360"/>
      </w:pPr>
      <w:r>
        <w:rPr>
          <w:b/>
          <w:sz w:val="23"/>
        </w:rPr>
        <w:t>To empower businesses everywhere to understand and manage their compliance needs through reliable knowledge, intuitive technology, and access to the right professionals—supporting them throughout their entire business journey.</w:t>
      </w:r>
    </w:p>
    <w:p>
      <w:pPr>
        <w:pStyle w:val="Heading2"/>
      </w:pPr>
      <w:r>
        <w:t>Vision</w:t>
      </w:r>
    </w:p>
    <w:p>
      <w:pPr>
        <w:ind w:left="360"/>
      </w:pPr>
      <w:r>
        <w:rPr>
          <w:b/>
          <w:sz w:val="23"/>
        </w:rPr>
        <w:t>To become the place businesses around the world turn to first for compliance—creating a more transparent industry where knowledge empowers better decisions, quality drives competition, and businesses and professionals build meaningful, long-term relationships.</w:t>
      </w:r>
    </w:p>
    <w:p>
      <w:pPr>
        <w:pStyle w:val="Heading2"/>
      </w:pPr>
      <w:r>
        <w:t>Placement</w:t>
      </w:r>
    </w:p>
    <w:p>
      <w:pPr>
        <w:pStyle w:val="ListBullet"/>
      </w:pPr>
      <w:r>
        <w:t>Create or expand /about (Über uns) as the primary home for Why We Exist, Purpose, Mission, Vision, and the founder story.</w:t>
      </w:r>
    </w:p>
    <w:p>
      <w:pPr>
        <w:pStyle w:val="ListBullet"/>
      </w:pPr>
      <w:r>
        <w:t>Do not place all four statements in the homepage hero. The homepage should remain simple.</w:t>
      </w:r>
    </w:p>
    <w:p>
      <w:pPr>
        <w:pStyle w:val="ListBullet"/>
      </w:pPr>
      <w:r>
        <w:t>Homepage may contain one short Why We Exist / user-first section linking to About.</w:t>
      </w:r>
    </w:p>
    <w:p>
      <w:pPr>
        <w:pStyle w:val="ListBullet"/>
      </w:pPr>
      <w:r>
        <w:t>Footer already contains an Unternehmens / Über uns link; ensure it resolves to a substantive brand page.</w:t>
      </w:r>
    </w:p>
    <w:p>
      <w:pPr>
        <w:pStyle w:val="Heading1"/>
      </w:pPr>
      <w:r>
        <w:t>4. Screen-by-Screen Audit — Public Website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Route / Screen</w:t>
            </w:r>
          </w:p>
        </w:tc>
        <w:tc>
          <w:tcPr>
            <w:tcW w:type="dxa" w:w="5040"/>
          </w:tcPr>
          <w:p>
            <w:r>
              <w:t>/de — Home</w:t>
            </w:r>
          </w:p>
        </w:tc>
      </w:tr>
      <w:tr>
        <w:tc>
          <w:tcPr>
            <w:tcW w:type="dxa" w:w="5040"/>
          </w:tcPr>
          <w:p>
            <w:r>
              <w:rPr>
                <w:b/>
              </w:rPr>
              <w:t>Priority</w:t>
            </w:r>
          </w:p>
        </w:tc>
        <w:tc>
          <w:tcPr>
            <w:tcW w:type="dxa" w:w="5040"/>
          </w:tcPr>
          <w:p>
            <w:r>
              <w:t>HIGH</w:t>
            </w:r>
          </w:p>
        </w:tc>
      </w:tr>
      <w:tr>
        <w:tc>
          <w:tcPr>
            <w:tcW w:type="dxa" w:w="5040"/>
          </w:tcPr>
          <w:p>
            <w:r>
              <w:rPr>
                <w:b/>
              </w:rPr>
              <w:t>Current</w:t>
            </w:r>
          </w:p>
        </w:tc>
        <w:tc>
          <w:tcPr>
            <w:tcW w:type="dxa" w:w="5040"/>
          </w:tcPr>
          <w:p>
            <w:r>
              <w:t>Hero currently communicates: “Ihr Compliance-Anteil, an Sie und nicht einfach erklärt.” The page already presents the product UI, trust proof, assessment, and provider matching.</w:t>
            </w:r>
          </w:p>
        </w:tc>
      </w:tr>
      <w:tr>
        <w:tc>
          <w:tcPr>
            <w:tcW w:type="dxa" w:w="5040"/>
          </w:tcPr>
          <w:p>
            <w:r>
              <w:rPr>
                <w:b/>
              </w:rPr>
              <w:t>DNA Audit</w:t>
            </w:r>
          </w:p>
        </w:tc>
        <w:tc>
          <w:tcPr>
            <w:tcW w:type="dxa" w:w="5040"/>
          </w:tcPr>
          <w:p>
            <w:r>
              <w:t>The direction is broadly aligned, but the hero wording appears awkward/unclear and does not yet express the new DNA as cleanly as the rest of the product.</w:t>
            </w:r>
          </w:p>
        </w:tc>
      </w:tr>
      <w:tr>
        <w:tc>
          <w:tcPr>
            <w:tcW w:type="dxa" w:w="5040"/>
          </w:tcPr>
          <w:p>
            <w:r>
              <w:rPr>
                <w:b/>
              </w:rPr>
              <w:t>Required Update</w:t>
            </w:r>
          </w:p>
        </w:tc>
        <w:tc>
          <w:tcPr>
            <w:tcW w:type="dxa" w:w="5040"/>
          </w:tcPr>
          <w:p>
            <w:r>
              <w:t>Keep the existing layout and product visual. Rewrite hero around clarity + ease + user-first. Recommended master direction: “Understand what applies to your business. Know what to do next.” Supporting line: “CompliHub360 turns complex compliance requirements into a clear Risk Map and matches you with professionals based on your actual needs.” Keep two CTAs: Ask a question / Assess my needs.</w:t>
            </w:r>
          </w:p>
        </w:tc>
      </w:tr>
    </w:tbl>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Route / Screen</w:t>
            </w:r>
          </w:p>
        </w:tc>
        <w:tc>
          <w:tcPr>
            <w:tcW w:type="dxa" w:w="5040"/>
          </w:tcPr>
          <w:p>
            <w:r>
              <w:t>/de/platform</w:t>
            </w:r>
          </w:p>
        </w:tc>
      </w:tr>
      <w:tr>
        <w:tc>
          <w:tcPr>
            <w:tcW w:type="dxa" w:w="5040"/>
          </w:tcPr>
          <w:p>
            <w:r>
              <w:rPr>
                <w:b/>
              </w:rPr>
              <w:t>Priority</w:t>
            </w:r>
          </w:p>
        </w:tc>
        <w:tc>
          <w:tcPr>
            <w:tcW w:type="dxa" w:w="5040"/>
          </w:tcPr>
          <w:p>
            <w:r>
              <w:t>HIGH</w:t>
            </w:r>
          </w:p>
        </w:tc>
      </w:tr>
      <w:tr>
        <w:tc>
          <w:tcPr>
            <w:tcW w:type="dxa" w:w="5040"/>
          </w:tcPr>
          <w:p>
            <w:r>
              <w:rPr>
                <w:b/>
              </w:rPr>
              <w:t>Current</w:t>
            </w:r>
          </w:p>
        </w:tc>
        <w:tc>
          <w:tcPr>
            <w:tcW w:type="dxa" w:w="5040"/>
          </w:tcPr>
          <w:p>
            <w:r>
              <w:t>Headline: “Von regulatorischer Unsicherheit zu strukturiertem Handeln.” Copy emphasizes AI as cognitive advisory layer, PII masking, AI analysis, and Risk Advisor.</w:t>
            </w:r>
          </w:p>
        </w:tc>
      </w:tr>
      <w:tr>
        <w:tc>
          <w:tcPr>
            <w:tcW w:type="dxa" w:w="5040"/>
          </w:tcPr>
          <w:p>
            <w:r>
              <w:rPr>
                <w:b/>
              </w:rPr>
              <w:t>DNA Audit</w:t>
            </w:r>
          </w:p>
        </w:tc>
        <w:tc>
          <w:tcPr>
            <w:tcW w:type="dxa" w:w="5040"/>
          </w:tcPr>
          <w:p>
            <w:r>
              <w:t>Strong product architecture, but the page currently sounds more like an AI systems brief than the human-centered CompliHub360 personality.</w:t>
            </w:r>
          </w:p>
        </w:tc>
      </w:tr>
      <w:tr>
        <w:tc>
          <w:tcPr>
            <w:tcW w:type="dxa" w:w="5040"/>
          </w:tcPr>
          <w:p>
            <w:r>
              <w:rPr>
                <w:b/>
              </w:rPr>
              <w:t>Required Update</w:t>
            </w:r>
          </w:p>
        </w:tc>
        <w:tc>
          <w:tcPr>
            <w:tcW w:type="dxa" w:w="5040"/>
          </w:tcPr>
          <w:p>
            <w:r>
              <w:t>Keep the technical architecture, but add a human-first introduction before the system diagram: “Technology does the heavy lifting. You stay in control.” Add the DNA principle: “Technology should be the shortest path to the right human—not a barrier between them.” Rename/describe AI roles in user language where possible. Avoid positioning AI as the final authority.</w:t>
            </w:r>
          </w:p>
        </w:tc>
      </w:tr>
    </w:tbl>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Route / Screen</w:t>
            </w:r>
          </w:p>
        </w:tc>
        <w:tc>
          <w:tcPr>
            <w:tcW w:type="dxa" w:w="5040"/>
          </w:tcPr>
          <w:p>
            <w:r>
              <w:t>/de/solutions</w:t>
            </w:r>
          </w:p>
        </w:tc>
      </w:tr>
      <w:tr>
        <w:tc>
          <w:tcPr>
            <w:tcW w:type="dxa" w:w="5040"/>
          </w:tcPr>
          <w:p>
            <w:r>
              <w:rPr>
                <w:b/>
              </w:rPr>
              <w:t>Priority</w:t>
            </w:r>
          </w:p>
        </w:tc>
        <w:tc>
          <w:tcPr>
            <w:tcW w:type="dxa" w:w="5040"/>
          </w:tcPr>
          <w:p>
            <w:r>
              <w:t>HIGH</w:t>
            </w:r>
          </w:p>
        </w:tc>
      </w:tr>
      <w:tr>
        <w:tc>
          <w:tcPr>
            <w:tcW w:type="dxa" w:w="5040"/>
          </w:tcPr>
          <w:p>
            <w:r>
              <w:rPr>
                <w:b/>
              </w:rPr>
              <w:t>Current</w:t>
            </w:r>
          </w:p>
        </w:tc>
        <w:tc>
          <w:tcPr>
            <w:tcW w:type="dxa" w:w="5040"/>
          </w:tcPr>
          <w:p>
            <w:r>
              <w:t>Headline: “Von regulatorischer Unsicherheit zur sicheren Expansion.” CTA: “Expansions-Check starten.” The entire path is labeled “sicher expandieren”.</w:t>
            </w:r>
          </w:p>
        </w:tc>
      </w:tr>
      <w:tr>
        <w:tc>
          <w:tcPr>
            <w:tcW w:type="dxa" w:w="5040"/>
          </w:tcPr>
          <w:p>
            <w:r>
              <w:rPr>
                <w:b/>
              </w:rPr>
              <w:t>DNA Audit</w:t>
            </w:r>
          </w:p>
        </w:tc>
        <w:tc>
          <w:tcPr>
            <w:tcW w:type="dxa" w:w="5040"/>
          </w:tcPr>
          <w:p>
            <w:r>
              <w:t>This conflicts with the finalized positioning. Expansion is an important journey, not the master identity. CompliHub360 also serves domestic compliance, legal, accounting, logistics, customs, privacy, corporate filings, and ongoing needs.</w:t>
            </w:r>
          </w:p>
        </w:tc>
      </w:tr>
      <w:tr>
        <w:tc>
          <w:tcPr>
            <w:tcW w:type="dxa" w:w="5040"/>
          </w:tcPr>
          <w:p>
            <w:r>
              <w:rPr>
                <w:b/>
              </w:rPr>
              <w:t>Required Update</w:t>
            </w:r>
          </w:p>
        </w:tc>
        <w:tc>
          <w:tcPr>
            <w:tcW w:type="dxa" w:w="5040"/>
          </w:tcPr>
          <w:p>
            <w:r>
              <w:t>Change this page from expansion-led master positioning to role/use-case solutions. Suggested headline: “Von regulatorischer Unsicherheit zur richtigen Entscheidung.” Replace “Expansions-Check” with “Compliance-Check” or “Bedarf ermitteln.” Expansion can remain one solution/use case rather than defining the page.</w:t>
            </w:r>
          </w:p>
        </w:tc>
      </w:tr>
    </w:tbl>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Route / Screen</w:t>
            </w:r>
          </w:p>
        </w:tc>
        <w:tc>
          <w:tcPr>
            <w:tcW w:type="dxa" w:w="5040"/>
          </w:tcPr>
          <w:p>
            <w:r>
              <w:t>/de/compliance-areas</w:t>
            </w:r>
          </w:p>
        </w:tc>
      </w:tr>
      <w:tr>
        <w:tc>
          <w:tcPr>
            <w:tcW w:type="dxa" w:w="5040"/>
          </w:tcPr>
          <w:p>
            <w:r>
              <w:rPr>
                <w:b/>
              </w:rPr>
              <w:t>Priority</w:t>
            </w:r>
          </w:p>
        </w:tc>
        <w:tc>
          <w:tcPr>
            <w:tcW w:type="dxa" w:w="5040"/>
          </w:tcPr>
          <w:p>
            <w:r>
              <w:t>MEDIUM</w:t>
            </w:r>
          </w:p>
        </w:tc>
      </w:tr>
      <w:tr>
        <w:tc>
          <w:tcPr>
            <w:tcW w:type="dxa" w:w="5040"/>
          </w:tcPr>
          <w:p>
            <w:r>
              <w:rPr>
                <w:b/>
              </w:rPr>
              <w:t>Current</w:t>
            </w:r>
          </w:p>
        </w:tc>
        <w:tc>
          <w:tcPr>
            <w:tcW w:type="dxa" w:w="5040"/>
          </w:tcPr>
          <w:p>
            <w:r>
              <w:t>Headline: “Finden Sie Ihre regulatorische Herausforderung. Starten Sie hier.” Cards include safe expansion, validate risk, find specialists, calculate VAT, etc.</w:t>
            </w:r>
          </w:p>
        </w:tc>
      </w:tr>
      <w:tr>
        <w:tc>
          <w:tcPr>
            <w:tcW w:type="dxa" w:w="5040"/>
          </w:tcPr>
          <w:p>
            <w:r>
              <w:rPr>
                <w:b/>
              </w:rPr>
              <w:t>DNA Audit</w:t>
            </w:r>
          </w:p>
        </w:tc>
        <w:tc>
          <w:tcPr>
            <w:tcW w:type="dxa" w:w="5040"/>
          </w:tcPr>
          <w:p>
            <w:r>
              <w:t>Strong breadth and user-task orientation. It already supports the new strategy better than a service catalog.</w:t>
            </w:r>
          </w:p>
        </w:tc>
      </w:tr>
      <w:tr>
        <w:tc>
          <w:tcPr>
            <w:tcW w:type="dxa" w:w="5040"/>
          </w:tcPr>
          <w:p>
            <w:r>
              <w:rPr>
                <w:b/>
              </w:rPr>
              <w:t>Required Update</w:t>
            </w:r>
          </w:p>
        </w:tc>
        <w:tc>
          <w:tcPr>
            <w:tcW w:type="dxa" w:w="5040"/>
          </w:tcPr>
          <w:p>
            <w:r>
              <w:t>KEEP structure. Refine card copy to ensure every card begins with the user’s goal/problem. Add a short line explaining that CompliHub360 identifies what applies before matching services. Preserve broad categories; do not collapse back into expansion-only language.</w:t>
            </w:r>
          </w:p>
        </w:tc>
      </w:tr>
    </w:tbl>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Route / Screen</w:t>
            </w:r>
          </w:p>
        </w:tc>
        <w:tc>
          <w:tcPr>
            <w:tcW w:type="dxa" w:w="5040"/>
          </w:tcPr>
          <w:p>
            <w:r>
              <w:t>/de/how-it-works</w:t>
            </w:r>
          </w:p>
        </w:tc>
      </w:tr>
      <w:tr>
        <w:tc>
          <w:tcPr>
            <w:tcW w:type="dxa" w:w="5040"/>
          </w:tcPr>
          <w:p>
            <w:r>
              <w:rPr>
                <w:b/>
              </w:rPr>
              <w:t>Priority</w:t>
            </w:r>
          </w:p>
        </w:tc>
        <w:tc>
          <w:tcPr>
            <w:tcW w:type="dxa" w:w="5040"/>
          </w:tcPr>
          <w:p>
            <w:r>
              <w:t>MEDIUM</w:t>
            </w:r>
          </w:p>
        </w:tc>
      </w:tr>
      <w:tr>
        <w:tc>
          <w:tcPr>
            <w:tcW w:type="dxa" w:w="5040"/>
          </w:tcPr>
          <w:p>
            <w:r>
              <w:rPr>
                <w:b/>
              </w:rPr>
              <w:t>Current</w:t>
            </w:r>
          </w:p>
        </w:tc>
        <w:tc>
          <w:tcPr>
            <w:tcW w:type="dxa" w:w="5040"/>
          </w:tcPr>
          <w:p>
            <w:r>
              <w:t>Headline: “Von einer Frage zu jemandem, der handeln kann.” Step 1 says ask in your own words; no account, no sales call, no obligation. Pricing/data cards reinforce free use and privacy.</w:t>
            </w:r>
          </w:p>
        </w:tc>
      </w:tr>
      <w:tr>
        <w:tc>
          <w:tcPr>
            <w:tcW w:type="dxa" w:w="5040"/>
          </w:tcPr>
          <w:p>
            <w:r>
              <w:rPr>
                <w:b/>
              </w:rPr>
              <w:t>DNA Audit</w:t>
            </w:r>
          </w:p>
        </w:tc>
        <w:tc>
          <w:tcPr>
            <w:tcW w:type="dxa" w:w="5040"/>
          </w:tcPr>
          <w:p>
            <w:r>
              <w:t>This page is highly aligned with the DNA. It already demonstrates no sales pressure and human handoff.</w:t>
            </w:r>
          </w:p>
        </w:tc>
      </w:tr>
      <w:tr>
        <w:tc>
          <w:tcPr>
            <w:tcW w:type="dxa" w:w="5040"/>
          </w:tcPr>
          <w:p>
            <w:r>
              <w:rPr>
                <w:b/>
              </w:rPr>
              <w:t>Required Update</w:t>
            </w:r>
          </w:p>
        </w:tc>
        <w:tc>
          <w:tcPr>
            <w:tcW w:type="dxa" w:w="5040"/>
          </w:tcPr>
          <w:p>
            <w:r>
              <w:t>KEEP. Add the missing lifelong relationship as a final step after connection: “Wir bleiben an Ihrer Seite.” Explain feedback, provider quality monitoring, future compliance needs, and return experience. Consider changing “jemandem, der handeln kann” to “der richtigen Unterstützung” if the current wording feels overly transactional.</w:t>
            </w:r>
          </w:p>
        </w:tc>
      </w:tr>
    </w:tbl>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Route / Screen</w:t>
            </w:r>
          </w:p>
        </w:tc>
        <w:tc>
          <w:tcPr>
            <w:tcW w:type="dxa" w:w="5040"/>
          </w:tcPr>
          <w:p>
            <w:r>
              <w:t>/de/pricing</w:t>
            </w:r>
          </w:p>
        </w:tc>
      </w:tr>
      <w:tr>
        <w:tc>
          <w:tcPr>
            <w:tcW w:type="dxa" w:w="5040"/>
          </w:tcPr>
          <w:p>
            <w:r>
              <w:rPr>
                <w:b/>
              </w:rPr>
              <w:t>Priority</w:t>
            </w:r>
          </w:p>
        </w:tc>
        <w:tc>
          <w:tcPr>
            <w:tcW w:type="dxa" w:w="5040"/>
          </w:tcPr>
          <w:p>
            <w:r>
              <w:t>HIGH</w:t>
            </w:r>
          </w:p>
        </w:tc>
      </w:tr>
      <w:tr>
        <w:tc>
          <w:tcPr>
            <w:tcW w:type="dxa" w:w="5040"/>
          </w:tcPr>
          <w:p>
            <w:r>
              <w:rPr>
                <w:b/>
              </w:rPr>
              <w:t>Current</w:t>
            </w:r>
          </w:p>
        </w:tc>
        <w:tc>
          <w:tcPr>
            <w:tcW w:type="dxa" w:w="5040"/>
          </w:tcPr>
          <w:p>
            <w:r>
              <w:t>Headline: “Für Sie kostet es nichts.” Assessment, Risk Map and comparison are free; experts pay only when booking occurs.</w:t>
            </w:r>
          </w:p>
        </w:tc>
      </w:tr>
      <w:tr>
        <w:tc>
          <w:tcPr>
            <w:tcW w:type="dxa" w:w="5040"/>
          </w:tcPr>
          <w:p>
            <w:r>
              <w:rPr>
                <w:b/>
              </w:rPr>
              <w:t>DNA Audit</w:t>
            </w:r>
          </w:p>
        </w:tc>
        <w:tc>
          <w:tcPr>
            <w:tcW w:type="dxa" w:w="5040"/>
          </w:tcPr>
          <w:p>
            <w:r>
              <w:t>Very strong user-first proof. It makes the business model transparent and supports trust.</w:t>
            </w:r>
          </w:p>
        </w:tc>
      </w:tr>
      <w:tr>
        <w:tc>
          <w:tcPr>
            <w:tcW w:type="dxa" w:w="5040"/>
          </w:tcPr>
          <w:p>
            <w:r>
              <w:rPr>
                <w:b/>
              </w:rPr>
              <w:t>Required Update</w:t>
            </w:r>
          </w:p>
        </w:tc>
        <w:tc>
          <w:tcPr>
            <w:tcW w:type="dxa" w:w="5040"/>
          </w:tcPr>
          <w:p>
            <w:r>
              <w:t>KEEP. Add one short fairness statement: provider payment does not buy a better match/ranking. Example: “Zahlungen beeinflussen nicht, wer zu Ihnen passt. Das Matching basiert auf Ihrem tatsächlichen Bedarf.” This is important DNA proof.</w:t>
            </w:r>
          </w:p>
        </w:tc>
      </w:tr>
    </w:tbl>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Route / Screen</w:t>
            </w:r>
          </w:p>
        </w:tc>
        <w:tc>
          <w:tcPr>
            <w:tcW w:type="dxa" w:w="5040"/>
          </w:tcPr>
          <w:p>
            <w:r>
              <w:t>/de/search</w:t>
            </w:r>
          </w:p>
        </w:tc>
      </w:tr>
      <w:tr>
        <w:tc>
          <w:tcPr>
            <w:tcW w:type="dxa" w:w="5040"/>
          </w:tcPr>
          <w:p>
            <w:r>
              <w:rPr>
                <w:b/>
              </w:rPr>
              <w:t>Priority</w:t>
            </w:r>
          </w:p>
        </w:tc>
        <w:tc>
          <w:tcPr>
            <w:tcW w:type="dxa" w:w="5040"/>
          </w:tcPr>
          <w:p>
            <w:r>
              <w:t>HIGH</w:t>
            </w:r>
          </w:p>
        </w:tc>
      </w:tr>
      <w:tr>
        <w:tc>
          <w:tcPr>
            <w:tcW w:type="dxa" w:w="5040"/>
          </w:tcPr>
          <w:p>
            <w:r>
              <w:rPr>
                <w:b/>
              </w:rPr>
              <w:t>Current</w:t>
            </w:r>
          </w:p>
        </w:tc>
        <w:tc>
          <w:tcPr>
            <w:tcW w:type="dxa" w:w="5040"/>
          </w:tcPr>
          <w:p>
            <w:r>
              <w:t>Search result says the answer is general information, not individual legal advice; sources are visible; user is bridged into assessment.</w:t>
            </w:r>
          </w:p>
        </w:tc>
      </w:tr>
      <w:tr>
        <w:tc>
          <w:tcPr>
            <w:tcW w:type="dxa" w:w="5040"/>
          </w:tcPr>
          <w:p>
            <w:r>
              <w:rPr>
                <w:b/>
              </w:rPr>
              <w:t>DNA Audit</w:t>
            </w:r>
          </w:p>
        </w:tc>
        <w:tc>
          <w:tcPr>
            <w:tcW w:type="dxa" w:w="5040"/>
          </w:tcPr>
          <w:p>
            <w:r>
              <w:t>Very aligned with clarity, education, and the knowledge-to-Risk-Map journey. Current preview copy is somewhat generic.</w:t>
            </w:r>
          </w:p>
        </w:tc>
      </w:tr>
      <w:tr>
        <w:tc>
          <w:tcPr>
            <w:tcW w:type="dxa" w:w="5040"/>
          </w:tcPr>
          <w:p>
            <w:r>
              <w:rPr>
                <w:b/>
              </w:rPr>
              <w:t>Required Update</w:t>
            </w:r>
          </w:p>
        </w:tc>
        <w:tc>
          <w:tcPr>
            <w:tcW w:type="dxa" w:w="5040"/>
          </w:tcPr>
          <w:p>
            <w:r>
              <w:t>KEEP structure. AI answer engine must implement the new voice standard: plain explanation + technical term; clear when clear; honest when uncertain; calm expert handoff. Add “why this may differ for your business” language rather than generic disclaimer-only copy.</w:t>
            </w:r>
          </w:p>
        </w:tc>
      </w:tr>
    </w:tbl>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Route / Screen</w:t>
            </w:r>
          </w:p>
        </w:tc>
        <w:tc>
          <w:tcPr>
            <w:tcW w:type="dxa" w:w="5040"/>
          </w:tcPr>
          <w:p>
            <w:r>
              <w:t>/de/wizard</w:t>
            </w:r>
          </w:p>
        </w:tc>
      </w:tr>
      <w:tr>
        <w:tc>
          <w:tcPr>
            <w:tcW w:type="dxa" w:w="5040"/>
          </w:tcPr>
          <w:p>
            <w:r>
              <w:rPr>
                <w:b/>
              </w:rPr>
              <w:t>Priority</w:t>
            </w:r>
          </w:p>
        </w:tc>
        <w:tc>
          <w:tcPr>
            <w:tcW w:type="dxa" w:w="5040"/>
          </w:tcPr>
          <w:p>
            <w:r>
              <w:t>MEDIUM</w:t>
            </w:r>
          </w:p>
        </w:tc>
      </w:tr>
      <w:tr>
        <w:tc>
          <w:tcPr>
            <w:tcW w:type="dxa" w:w="5040"/>
          </w:tcPr>
          <w:p>
            <w:r>
              <w:rPr>
                <w:b/>
              </w:rPr>
              <w:t>Current</w:t>
            </w:r>
          </w:p>
        </w:tc>
        <w:tc>
          <w:tcPr>
            <w:tcW w:type="dxa" w:w="5040"/>
          </w:tcPr>
          <w:p>
            <w:r>
              <w:t>Wizard starts with markets, then activity, areas, overview. Country cards show regulatory examples.</w:t>
            </w:r>
          </w:p>
        </w:tc>
      </w:tr>
      <w:tr>
        <w:tc>
          <w:tcPr>
            <w:tcW w:type="dxa" w:w="5040"/>
          </w:tcPr>
          <w:p>
            <w:r>
              <w:rPr>
                <w:b/>
              </w:rPr>
              <w:t>DNA Audit</w:t>
            </w:r>
          </w:p>
        </w:tc>
        <w:tc>
          <w:tcPr>
            <w:tcW w:type="dxa" w:w="5040"/>
          </w:tcPr>
          <w:p>
            <w:r>
              <w:t>Strong guided experience and aligned with Ask Only What Matters.</w:t>
            </w:r>
          </w:p>
        </w:tc>
      </w:tr>
      <w:tr>
        <w:tc>
          <w:tcPr>
            <w:tcW w:type="dxa" w:w="5040"/>
          </w:tcPr>
          <w:p>
            <w:r>
              <w:rPr>
                <w:b/>
              </w:rPr>
              <w:t>Required Update</w:t>
            </w:r>
          </w:p>
        </w:tc>
        <w:tc>
          <w:tcPr>
            <w:tcW w:type="dxa" w:w="5040"/>
          </w:tcPr>
          <w:p>
            <w:r>
              <w:t>KEEP. Audit every wizard question for purpose and plain language. Add short explanatory microcopy/tooltips only where a user may wonder why a question matters. Avoid unnecessary questions added solely for lead qualification.</w:t>
            </w:r>
          </w:p>
        </w:tc>
      </w:tr>
    </w:tbl>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Route / Screen</w:t>
            </w:r>
          </w:p>
        </w:tc>
        <w:tc>
          <w:tcPr>
            <w:tcW w:type="dxa" w:w="5040"/>
          </w:tcPr>
          <w:p>
            <w:r>
              <w:t>/de/results — Risk Map</w:t>
            </w:r>
          </w:p>
        </w:tc>
      </w:tr>
      <w:tr>
        <w:tc>
          <w:tcPr>
            <w:tcW w:type="dxa" w:w="5040"/>
          </w:tcPr>
          <w:p>
            <w:r>
              <w:rPr>
                <w:b/>
              </w:rPr>
              <w:t>Priority</w:t>
            </w:r>
          </w:p>
        </w:tc>
        <w:tc>
          <w:tcPr>
            <w:tcW w:type="dxa" w:w="5040"/>
          </w:tcPr>
          <w:p>
            <w:r>
              <w:t>HIGH</w:t>
            </w:r>
          </w:p>
        </w:tc>
      </w:tr>
      <w:tr>
        <w:tc>
          <w:tcPr>
            <w:tcW w:type="dxa" w:w="5040"/>
          </w:tcPr>
          <w:p>
            <w:r>
              <w:rPr>
                <w:b/>
              </w:rPr>
              <w:t>Current</w:t>
            </w:r>
          </w:p>
        </w:tc>
        <w:tc>
          <w:tcPr>
            <w:tcW w:type="dxa" w:w="5040"/>
          </w:tcPr>
          <w:p>
            <w:r>
              <w:t>Shows 8 identified duties, 4 due within 30 days, median deadline, severity labels Kritisch/Hoch/Mittel, penalty amounts in row subtitles, status, and 94/88/81% anonymous provider matches.</w:t>
            </w:r>
          </w:p>
        </w:tc>
      </w:tr>
      <w:tr>
        <w:tc>
          <w:tcPr>
            <w:tcW w:type="dxa" w:w="5040"/>
          </w:tcPr>
          <w:p>
            <w:r>
              <w:rPr>
                <w:b/>
              </w:rPr>
              <w:t>DNA Audit</w:t>
            </w:r>
          </w:p>
        </w:tc>
        <w:tc>
          <w:tcPr>
            <w:tcW w:type="dxa" w:w="5040"/>
          </w:tcPr>
          <w:p>
            <w:r>
              <w:t>The structure is excellent, but the tone partially conflicts with “prioritize without panic.” Penalty amounts and “critical” labels dominate several rows and can make the Risk Map feel fear-led. Also English “14 days” appears inside German UI.</w:t>
            </w:r>
          </w:p>
        </w:tc>
      </w:tr>
      <w:tr>
        <w:tc>
          <w:tcPr>
            <w:tcW w:type="dxa" w:w="5040"/>
          </w:tcPr>
          <w:p>
            <w:r>
              <w:rPr>
                <w:b/>
              </w:rPr>
              <w:t>Required Update</w:t>
            </w:r>
          </w:p>
        </w:tc>
        <w:tc>
          <w:tcPr>
            <w:tcW w:type="dxa" w:w="5040"/>
          </w:tcPr>
          <w:p>
            <w:r>
              <w:t>KEEP the Risk Map and match architecture. Reframe severity as urgency/priority: High / Medium / Low priority. Keep legal consequences accessible in details/source context, but do not make penalty amounts the primary subtitle for every obligation. Explain why each item is prioritized. Localize all units. Preserve match percentages and add visible ✓ / gap criteria so users understand why 94% is 94%.</w:t>
            </w:r>
          </w:p>
        </w:tc>
      </w:tr>
    </w:tbl>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Route / Screen</w:t>
            </w:r>
          </w:p>
        </w:tc>
        <w:tc>
          <w:tcPr>
            <w:tcW w:type="dxa" w:w="5040"/>
          </w:tcPr>
          <w:p>
            <w:r>
              <w:t>/de/ai-governance</w:t>
            </w:r>
          </w:p>
        </w:tc>
      </w:tr>
      <w:tr>
        <w:tc>
          <w:tcPr>
            <w:tcW w:type="dxa" w:w="5040"/>
          </w:tcPr>
          <w:p>
            <w:r>
              <w:rPr>
                <w:b/>
              </w:rPr>
              <w:t>Priority</w:t>
            </w:r>
          </w:p>
        </w:tc>
        <w:tc>
          <w:tcPr>
            <w:tcW w:type="dxa" w:w="5040"/>
          </w:tcPr>
          <w:p>
            <w:r>
              <w:t>HIGH</w:t>
            </w:r>
          </w:p>
        </w:tc>
      </w:tr>
      <w:tr>
        <w:tc>
          <w:tcPr>
            <w:tcW w:type="dxa" w:w="5040"/>
          </w:tcPr>
          <w:p>
            <w:r>
              <w:rPr>
                <w:b/>
              </w:rPr>
              <w:t>Current</w:t>
            </w:r>
          </w:p>
        </w:tc>
        <w:tc>
          <w:tcPr>
            <w:tcW w:type="dxa" w:w="5040"/>
          </w:tcPr>
          <w:p>
            <w:r>
              <w:t>AI Governance Framework: ethical guidelines, transparency/explainability, organizational responsibility. States AI should complement experts, not replace them.</w:t>
            </w:r>
          </w:p>
        </w:tc>
      </w:tr>
      <w:tr>
        <w:tc>
          <w:tcPr>
            <w:tcW w:type="dxa" w:w="5040"/>
          </w:tcPr>
          <w:p>
            <w:r>
              <w:rPr>
                <w:b/>
              </w:rPr>
              <w:t>DNA Audit</w:t>
            </w:r>
          </w:p>
        </w:tc>
        <w:tc>
          <w:tcPr>
            <w:tcW w:type="dxa" w:w="5040"/>
          </w:tcPr>
          <w:p>
            <w:r>
              <w:t>Excellent foundation, but it is governance-focused rather than experience-focused.</w:t>
            </w:r>
          </w:p>
        </w:tc>
      </w:tr>
      <w:tr>
        <w:tc>
          <w:tcPr>
            <w:tcW w:type="dxa" w:w="5040"/>
          </w:tcPr>
          <w:p>
            <w:r>
              <w:rPr>
                <w:b/>
              </w:rPr>
              <w:t>Required Update</w:t>
            </w:r>
          </w:p>
        </w:tc>
        <w:tc>
          <w:tcPr>
            <w:tcW w:type="dxa" w:w="5040"/>
          </w:tcPr>
          <w:p>
            <w:r>
              <w:t>KEEP governance content. Add a user-facing “How our AI behaves” section: AI identifies itself; explains simply; never pretends certainty; does not use fear; does not manufacture needs; hands off to a human when professional judgment matters. Include: “Technology should be the shortest path to the right human—not a barrier between them.”</w:t>
            </w:r>
          </w:p>
        </w:tc>
      </w:tr>
    </w:tbl>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Route / Screen</w:t>
            </w:r>
          </w:p>
        </w:tc>
        <w:tc>
          <w:tcPr>
            <w:tcW w:type="dxa" w:w="5040"/>
          </w:tcPr>
          <w:p>
            <w:r>
              <w:t>/de/provider-intake</w:t>
            </w:r>
          </w:p>
        </w:tc>
      </w:tr>
      <w:tr>
        <w:tc>
          <w:tcPr>
            <w:tcW w:type="dxa" w:w="5040"/>
          </w:tcPr>
          <w:p>
            <w:r>
              <w:rPr>
                <w:b/>
              </w:rPr>
              <w:t>Priority</w:t>
            </w:r>
          </w:p>
        </w:tc>
        <w:tc>
          <w:tcPr>
            <w:tcW w:type="dxa" w:w="5040"/>
          </w:tcPr>
          <w:p>
            <w:r>
              <w:t>MEDIUM</w:t>
            </w:r>
          </w:p>
        </w:tc>
      </w:tr>
      <w:tr>
        <w:tc>
          <w:tcPr>
            <w:tcW w:type="dxa" w:w="5040"/>
          </w:tcPr>
          <w:p>
            <w:r>
              <w:rPr>
                <w:b/>
              </w:rPr>
              <w:t>Current</w:t>
            </w:r>
          </w:p>
        </w:tc>
        <w:tc>
          <w:tcPr>
            <w:tcW w:type="dxa" w:w="5040"/>
          </w:tcPr>
          <w:p>
            <w:r>
              <w:t>Invitation-only intake; providers are contacted by CompliHub360 and manually checked against guidelines and statutes.</w:t>
            </w:r>
          </w:p>
        </w:tc>
      </w:tr>
      <w:tr>
        <w:tc>
          <w:tcPr>
            <w:tcW w:type="dxa" w:w="5040"/>
          </w:tcPr>
          <w:p>
            <w:r>
              <w:rPr>
                <w:b/>
              </w:rPr>
              <w:t>DNA Audit</w:t>
            </w:r>
          </w:p>
        </w:tc>
        <w:tc>
          <w:tcPr>
            <w:tcW w:type="dxa" w:w="5040"/>
          </w:tcPr>
          <w:p>
            <w:r>
              <w:t>Strong quality control, but the page explains admission mechanics more than the provider philosophy.</w:t>
            </w:r>
          </w:p>
        </w:tc>
      </w:tr>
      <w:tr>
        <w:tc>
          <w:tcPr>
            <w:tcW w:type="dxa" w:w="5040"/>
          </w:tcPr>
          <w:p>
            <w:r>
              <w:rPr>
                <w:b/>
              </w:rPr>
              <w:t>Required Update</w:t>
            </w:r>
          </w:p>
        </w:tc>
        <w:tc>
          <w:tcPr>
            <w:tcW w:type="dxa" w:w="5040"/>
          </w:tcPr>
          <w:p>
            <w:r>
              <w:t>KEEP invitation-only model. Add provider proposition: quality should outperform marketing size; ranking is earned through fit, responsiveness, service quality, and user experience. This page should later align with the Provider Onboarding Presentation.</w:t>
            </w:r>
          </w:p>
        </w:tc>
      </w:tr>
    </w:tbl>
    <w:p/>
    <w:p>
      <w:pPr>
        <w:pStyle w:val="Heading1"/>
      </w:pPr>
      <w:r>
        <w:t>5. User Dashboard Audit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Route / Screen</w:t>
            </w:r>
          </w:p>
        </w:tc>
        <w:tc>
          <w:tcPr>
            <w:tcW w:type="dxa" w:w="5040"/>
          </w:tcPr>
          <w:p>
            <w:r>
              <w:t>/de/user/dashboard</w:t>
            </w:r>
          </w:p>
        </w:tc>
      </w:tr>
      <w:tr>
        <w:tc>
          <w:tcPr>
            <w:tcW w:type="dxa" w:w="5040"/>
          </w:tcPr>
          <w:p>
            <w:r>
              <w:rPr>
                <w:b/>
              </w:rPr>
              <w:t>Priority</w:t>
            </w:r>
          </w:p>
        </w:tc>
        <w:tc>
          <w:tcPr>
            <w:tcW w:type="dxa" w:w="5040"/>
          </w:tcPr>
          <w:p>
            <w:r>
              <w:t>HIGH</w:t>
            </w:r>
          </w:p>
        </w:tc>
      </w:tr>
      <w:tr>
        <w:tc>
          <w:tcPr>
            <w:tcW w:type="dxa" w:w="5040"/>
          </w:tcPr>
          <w:p>
            <w:r>
              <w:rPr>
                <w:b/>
              </w:rPr>
              <w:t>Current</w:t>
            </w:r>
          </w:p>
        </w:tc>
        <w:tc>
          <w:tcPr>
            <w:tcW w:type="dxa" w:w="5040"/>
          </w:tcPr>
          <w:p>
            <w:r>
              <w:t>“Willkommen zurück, demo.” Shows active requests, sessions requiring updates, continue-where-you-left-off card, active provider requests, saved sessions, risk colors.</w:t>
            </w:r>
          </w:p>
        </w:tc>
      </w:tr>
      <w:tr>
        <w:tc>
          <w:tcPr>
            <w:tcW w:type="dxa" w:w="5040"/>
          </w:tcPr>
          <w:p>
            <w:r>
              <w:rPr>
                <w:b/>
              </w:rPr>
              <w:t>DNA Audit</w:t>
            </w:r>
          </w:p>
        </w:tc>
        <w:tc>
          <w:tcPr>
            <w:tcW w:type="dxa" w:w="5040"/>
          </w:tcPr>
          <w:p>
            <w:r>
              <w:t>This is one of the strongest DNA-aligned screens. It already feels like continuity rather than a one-time transaction. However, saved sessions use “High risk / Medium risk / Low risk,” which may be more alarming than necessary.</w:t>
            </w:r>
          </w:p>
        </w:tc>
      </w:tr>
      <w:tr>
        <w:tc>
          <w:tcPr>
            <w:tcW w:type="dxa" w:w="5040"/>
          </w:tcPr>
          <w:p>
            <w:r>
              <w:rPr>
                <w:b/>
              </w:rPr>
              <w:t>Required Update</w:t>
            </w:r>
          </w:p>
        </w:tc>
        <w:tc>
          <w:tcPr>
            <w:tcW w:type="dxa" w:w="5040"/>
          </w:tcPr>
          <w:p>
            <w:r>
              <w:t>KEEP “Willkommen zurück” and continue flow. Rename risk presentation where appropriate to priority/attention level unless true risk severity is legally meaningful. Add a future “Since your last visit” / relevant regulatory changes area when monitoring is ready. Avoid notification spam; only surface changes relevant to the user’s actual profile.</w:t>
            </w:r>
          </w:p>
        </w:tc>
      </w:tr>
    </w:tbl>
    <w:p/>
    <w:p>
      <w:pPr>
        <w:pStyle w:val="Heading2"/>
      </w:pPr>
      <w:r>
        <w:t>User lifecycle requirements</w:t>
      </w:r>
    </w:p>
    <w:p>
      <w:pPr>
        <w:pStyle w:val="ListBullet"/>
      </w:pPr>
      <w:r>
        <w:t>After a provider meeting, ask more than a star rating: Did you get the help you needed? Was the provider responsive? Did the expertise match what was presented? Would you work with them again?</w:t>
      </w:r>
    </w:p>
    <w:p>
      <w:pPr>
        <w:pStyle w:val="ListBullet"/>
      </w:pPr>
      <w:r>
        <w:t>Feed verified experience back into provider ranking.</w:t>
      </w:r>
    </w:p>
    <w:p>
      <w:pPr>
        <w:pStyle w:val="ListBullet"/>
      </w:pPr>
      <w:r>
        <w:t>Create a visible path for a user to report a failed/no-show/poor provider experience.</w:t>
      </w:r>
    </w:p>
    <w:p>
      <w:pPr>
        <w:pStyle w:val="ListBullet"/>
      </w:pPr>
      <w:r>
        <w:t>When something fails, CompliHub360 should not disappear behind “contact the provider.” Own the platform part of the experience and guide the next step.</w:t>
      </w:r>
    </w:p>
    <w:p>
      <w:pPr>
        <w:pStyle w:val="ListBullet"/>
      </w:pPr>
      <w:r>
        <w:t>Long-term direction: show current map/status, meaningful changes since last visit, and an easy “Anything new with your business?” re-assessment path.</w:t>
      </w:r>
    </w:p>
    <w:p>
      <w:pPr>
        <w:pStyle w:val="Heading1"/>
      </w:pPr>
      <w:r>
        <w:t>6. Partner Dashboard Audit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Route / Screen</w:t>
            </w:r>
          </w:p>
        </w:tc>
        <w:tc>
          <w:tcPr>
            <w:tcW w:type="dxa" w:w="5040"/>
          </w:tcPr>
          <w:p>
            <w:r>
              <w:t>/de/partner/performance</w:t>
            </w:r>
          </w:p>
        </w:tc>
      </w:tr>
      <w:tr>
        <w:tc>
          <w:tcPr>
            <w:tcW w:type="dxa" w:w="5040"/>
          </w:tcPr>
          <w:p>
            <w:r>
              <w:rPr>
                <w:b/>
              </w:rPr>
              <w:t>Priority</w:t>
            </w:r>
          </w:p>
        </w:tc>
        <w:tc>
          <w:tcPr>
            <w:tcW w:type="dxa" w:w="5040"/>
          </w:tcPr>
          <w:p>
            <w:r>
              <w:t>HIGH</w:t>
            </w:r>
          </w:p>
        </w:tc>
      </w:tr>
      <w:tr>
        <w:tc>
          <w:tcPr>
            <w:tcW w:type="dxa" w:w="5040"/>
          </w:tcPr>
          <w:p>
            <w:r>
              <w:rPr>
                <w:b/>
              </w:rPr>
              <w:t>Current</w:t>
            </w:r>
          </w:p>
        </w:tc>
        <w:tc>
          <w:tcPr>
            <w:tcW w:type="dxa" w:w="5040"/>
          </w:tcPr>
          <w:p>
            <w:r>
              <w:t>Partner dashboard shows confirmation rate, reply rate, response times, SLA breach rate, ranking transparency, ranking movement, match quality from client reviews, coverage, and Trust Score.</w:t>
            </w:r>
          </w:p>
        </w:tc>
      </w:tr>
      <w:tr>
        <w:tc>
          <w:tcPr>
            <w:tcW w:type="dxa" w:w="5040"/>
          </w:tcPr>
          <w:p>
            <w:r>
              <w:rPr>
                <w:b/>
              </w:rPr>
              <w:t>DNA Audit</w:t>
            </w:r>
          </w:p>
        </w:tc>
        <w:tc>
          <w:tcPr>
            <w:tcW w:type="dxa" w:w="5040"/>
          </w:tcPr>
          <w:p>
            <w:r>
              <w:t>This is highly aligned with the future provider ecosystem. It makes quality and behavior measurable. The term “Trust Score” is slightly inconsistent with the DNA principle that trust is earned through experience rather than self-declared.</w:t>
            </w:r>
          </w:p>
        </w:tc>
      </w:tr>
      <w:tr>
        <w:tc>
          <w:tcPr>
            <w:tcW w:type="dxa" w:w="5040"/>
          </w:tcPr>
          <w:p>
            <w:r>
              <w:rPr>
                <w:b/>
              </w:rPr>
              <w:t>Required Update</w:t>
            </w:r>
          </w:p>
        </w:tc>
        <w:tc>
          <w:tcPr>
            <w:tcW w:type="dxa" w:w="5040"/>
          </w:tcPr>
          <w:p>
            <w:r>
              <w:t>KEEP ranking transparency and behavioral KPIs. Consider renaming “Trust Score” to “Quality Score,” “Partner Quality Score,” or “Service Quality Score.” Keep match quality/user reviews as a ranking factor. Make it explicit that paying more does not improve organic match rank.</w:t>
            </w:r>
          </w:p>
        </w:tc>
      </w:tr>
    </w:tbl>
    <w:p/>
    <w:p>
      <w:pPr>
        <w:pStyle w:val="Heading2"/>
      </w:pPr>
      <w:r>
        <w:t>Provider-market principle</w:t>
      </w:r>
    </w:p>
    <w:p>
      <w:pPr>
        <w:ind w:left="360"/>
      </w:pPr>
      <w:r>
        <w:rPr>
          <w:b/>
          <w:sz w:val="23"/>
        </w:rPr>
        <w:t>CompliHub360 should create an environment where a provider can win because it is genuinely the better match.</w:t>
      </w:r>
    </w:p>
    <w:p>
      <w:r>
        <w:t>The partner experience should make the route to better ranking obvious: better fit, stronger service, faster and reliable response, verified expertise, positive user outcomes, and accurate coverage—not louder marketing.</w:t>
      </w:r>
    </w:p>
    <w:p>
      <w:pPr>
        <w:pStyle w:val="Heading1"/>
      </w:pPr>
      <w:r>
        <w:t>7. AI Voice &amp; Behavior — Implementation Specification</w:t>
      </w:r>
    </w:p>
    <w:p>
      <w:pPr>
        <w:ind w:left="360"/>
      </w:pPr>
      <w:r>
        <w:rPr>
          <w:b/>
          <w:sz w:val="23"/>
        </w:rPr>
        <w:t>Professional first. Human always.</w:t>
      </w:r>
    </w:p>
    <w:p>
      <w:pPr>
        <w:jc w:val="center"/>
      </w:pPr>
      <w:r>
        <w:rPr>
          <w:b/>
          <w:i w:val="0"/>
          <w:sz w:val="22"/>
        </w:rPr>
        <w:t>LISTEN → UNDERSTAND → ANALYZE → EXPLAIN → EMPOWER → SUPPORT</w:t>
      </w:r>
    </w:p>
    <w:p>
      <w:pPr>
        <w:pStyle w:val="Heading2"/>
      </w:pPr>
      <w:r>
        <w:t>Required behavior</w:t>
      </w:r>
    </w:p>
    <w:p>
      <w:pPr>
        <w:pStyle w:val="ListBullet"/>
      </w:pPr>
      <w:r>
        <w:t>AI must identify itself as AI and never impersonate a lawyer, accountant, customs specialist, or other human professional.</w:t>
      </w:r>
    </w:p>
    <w:p>
      <w:pPr>
        <w:pStyle w:val="ListBullet"/>
      </w:pPr>
      <w:r>
        <w:t>Use the structured wizard/context before making a recommendation.</w:t>
      </w:r>
    </w:p>
    <w:p>
      <w:pPr>
        <w:pStyle w:val="ListBullet"/>
      </w:pPr>
      <w:r>
        <w:t>Ask why when a user states a service request but the underlying need is not yet clear.</w:t>
      </w:r>
    </w:p>
    <w:p>
      <w:pPr>
        <w:pStyle w:val="ListBullet"/>
      </w:pPr>
      <w:r>
        <w:t>Explain in plain language and also show the proper technical term for education.</w:t>
      </w:r>
    </w:p>
    <w:p>
      <w:pPr>
        <w:pStyle w:val="ListBullet"/>
      </w:pPr>
      <w:r>
        <w:t>When the legal position is clear, state it clearly and explain why.</w:t>
      </w:r>
    </w:p>
    <w:p>
      <w:pPr>
        <w:pStyle w:val="ListBullet"/>
      </w:pPr>
      <w:r>
        <w:t>When facts or law are uncertain, provide the closest reliable assessment, state the uncertainty, and recommend qualified professional confirmation without using sales pressure.</w:t>
      </w:r>
    </w:p>
    <w:p>
      <w:pPr>
        <w:pStyle w:val="ListBullet"/>
      </w:pPr>
      <w:r>
        <w:t>Calm tone for distress, enforcement letters, missed obligations, or complaints.</w:t>
      </w:r>
    </w:p>
    <w:p>
      <w:pPr>
        <w:pStyle w:val="ListBullet"/>
      </w:pPr>
      <w:r>
        <w:t>Human handoff must be easy when judgment, reassurance, nuance, or professional advice is appropriate.</w:t>
      </w:r>
    </w:p>
    <w:p>
      <w:pPr>
        <w:pStyle w:val="ListBullet"/>
      </w:pPr>
      <w:r>
        <w:t>Never use fear or exaggerated urgency to increase booking conversion.</w:t>
      </w:r>
    </w:p>
    <w:p>
      <w:pPr>
        <w:pStyle w:val="ListBullet"/>
      </w:pPr>
      <w:r>
        <w:t>Never manufacture a compliance need.</w:t>
      </w:r>
    </w:p>
    <w:p>
      <w:pPr>
        <w:pStyle w:val="ListBullet"/>
      </w:pPr>
      <w:r>
        <w:t>Same respect for a one-person business and an enterprise; adapt depth, not dignity.</w:t>
      </w:r>
    </w:p>
    <w:p>
      <w:pPr>
        <w:pStyle w:val="ListBullet"/>
      </w:pPr>
      <w:r>
        <w:t>Light humor is allowed only when the context is safe and appropriate.</w:t>
      </w:r>
    </w:p>
    <w:p>
      <w:pPr>
        <w:pStyle w:val="Heading2"/>
      </w:pPr>
      <w:r>
        <w:t>AI copy signatures</w:t>
      </w:r>
    </w:p>
    <w:p>
      <w:pPr>
        <w:pStyle w:val="ListBullet"/>
      </w:pPr>
      <w:r>
        <w:t>Ask before assuming.</w:t>
      </w:r>
    </w:p>
    <w:p>
      <w:pPr>
        <w:pStyle w:val="ListBullet"/>
      </w:pPr>
      <w:r>
        <w:t>Curiosity before correction.</w:t>
      </w:r>
    </w:p>
    <w:p>
      <w:pPr>
        <w:pStyle w:val="ListBullet"/>
      </w:pPr>
      <w:r>
        <w:t>When we know, we’re clear. When we don’t, we’re honest.</w:t>
      </w:r>
    </w:p>
    <w:p>
      <w:pPr>
        <w:pStyle w:val="ListBullet"/>
      </w:pPr>
      <w:r>
        <w:t>Never make the user feel small so CompliHub360 can feel smart.</w:t>
      </w:r>
    </w:p>
    <w:p>
      <w:pPr>
        <w:pStyle w:val="ListBullet"/>
      </w:pPr>
      <w:r>
        <w:t>Technology should be the shortest path to the right human—not a barrier between them.</w:t>
      </w:r>
    </w:p>
    <w:p>
      <w:pPr>
        <w:pStyle w:val="Heading1"/>
      </w:pPr>
      <w:r>
        <w:t>8. Exact New Website Section: About / Why We Exist</w:t>
      </w:r>
    </w:p>
    <w:p>
      <w:r>
        <w:t>Recommended structure for the missing/expanded About page. This is the primary new public DNA implementation.</w:t>
      </w:r>
    </w:p>
    <w:p>
      <w:pPr>
        <w:pStyle w:val="Heading2"/>
      </w:pPr>
      <w:r>
        <w:t>Hero</w:t>
      </w:r>
    </w:p>
    <w:p>
      <w:pPr>
        <w:ind w:left="360"/>
      </w:pPr>
      <w:r>
        <w:rPr>
          <w:b/>
          <w:sz w:val="23"/>
        </w:rPr>
        <w:t>Always on your side.</w:t>
      </w:r>
    </w:p>
    <w:p>
      <w:r>
        <w:t>Supporting direction: Compliance decisions are easier when you understand what actually applies to your business—and when the platform helping you has no reason to sell you something you do not need.</w:t>
      </w:r>
    </w:p>
    <w:p>
      <w:pPr>
        <w:pStyle w:val="Heading2"/>
      </w:pPr>
      <w:r>
        <w:t>Why We Exist</w:t>
      </w:r>
    </w:p>
    <w:p>
      <w:pPr>
        <w:ind w:left="360"/>
      </w:pPr>
      <w:r>
        <w:rPr>
          <w:b/>
          <w:sz w:val="23"/>
        </w:rPr>
        <w:t>Businesses making important decisions deserve someone genuinely on their side.</w:t>
      </w:r>
    </w:p>
    <w:p>
      <w:r>
        <w:t>CompliHub360 was created after years of seeing the same problem: businesses had access to many providers, but no neutral place to understand their needs before entering a sales conversation. We exist to put clarity, knowledge, and choice first.</w:t>
      </w:r>
    </w:p>
    <w:p>
      <w:pPr>
        <w:pStyle w:val="Heading2"/>
      </w:pPr>
      <w:r>
        <w:t>Purpose / Mission / Vision</w:t>
      </w:r>
    </w:p>
    <w:p>
      <w:pPr>
        <w:pStyle w:val="ListBullet"/>
      </w:pPr>
      <w:r>
        <w:t>Purpose: To empower businesses to make informed decisions with confidence, always putting their needs first.</w:t>
      </w:r>
    </w:p>
    <w:p>
      <w:pPr>
        <w:pStyle w:val="ListBullet"/>
      </w:pPr>
      <w:r>
        <w:t>Mission: To empower businesses everywhere to understand and manage their compliance needs through reliable knowledge, intuitive technology, and access to the right professionals—supporting them throughout their entire business journey.</w:t>
      </w:r>
    </w:p>
    <w:p>
      <w:pPr>
        <w:pStyle w:val="ListBullet"/>
      </w:pPr>
      <w:r>
        <w:t>Vision: To become the place businesses around the world turn to first for compliance—creating a more transparent industry where knowledge empowers better decisions, quality drives competition, and businesses and professionals build meaningful, long-term relationships.</w:t>
      </w:r>
    </w:p>
    <w:p>
      <w:pPr>
        <w:pStyle w:val="Heading2"/>
      </w:pPr>
      <w:r>
        <w:t>How We Behave</w:t>
      </w:r>
    </w:p>
    <w:p>
      <w:pPr>
        <w:pStyle w:val="Heading2"/>
      </w:pPr>
      <w:r>
        <w:t>How We Behave</w:t>
      </w:r>
    </w:p>
    <w:p>
      <w:pPr>
        <w:pStyle w:val="ListBullet"/>
      </w:pPr>
      <w:r>
        <w:t>Knowledge before sales.</w:t>
      </w:r>
    </w:p>
    <w:p>
      <w:pPr>
        <w:pStyle w:val="ListBullet"/>
      </w:pPr>
      <w:r>
        <w:t>Ask before assuming.</w:t>
      </w:r>
    </w:p>
    <w:p>
      <w:pPr>
        <w:pStyle w:val="ListBullet"/>
      </w:pPr>
      <w:r>
        <w:t>Professional first. Human always.</w:t>
      </w:r>
    </w:p>
    <w:p>
      <w:pPr>
        <w:pStyle w:val="ListBullet"/>
      </w:pPr>
      <w:r>
        <w:t>We do not create needs. We identify them.</w:t>
      </w:r>
    </w:p>
    <w:p>
      <w:pPr>
        <w:pStyle w:val="ListBullet"/>
      </w:pPr>
      <w:r>
        <w:t>Same respect. Personalized depth.</w:t>
      </w:r>
    </w:p>
    <w:p>
      <w:pPr>
        <w:pStyle w:val="ListBullet"/>
      </w:pPr>
      <w:r>
        <w:t>Experience is how trust is delivered.</w:t>
      </w:r>
    </w:p>
    <w:p>
      <w:pPr>
        <w:pStyle w:val="Heading1"/>
      </w:pPr>
      <w:r>
        <w:t>9. Priority Implementation Plan</w:t>
      </w:r>
    </w:p>
    <w:p>
      <w:pPr>
        <w:pStyle w:val="Heading2"/>
      </w:pPr>
      <w:r>
        <w:t>P0 — Before next external review</w:t>
      </w:r>
    </w:p>
    <w:p>
      <w:pPr>
        <w:pStyle w:val="ListBullet"/>
      </w:pPr>
      <w:r>
        <w:t>Add or expand the About / Über uns page with Why We Exist, Purpose, Mission, and Vision.</w:t>
      </w:r>
    </w:p>
    <w:p>
      <w:pPr>
        <w:pStyle w:val="ListBullet"/>
      </w:pPr>
      <w:r>
        <w:t>Correct Solutions page so expansion is a use case, not the master positioning.</w:t>
      </w:r>
    </w:p>
    <w:p>
      <w:pPr>
        <w:pStyle w:val="ListBullet"/>
      </w:pPr>
      <w:r>
        <w:t>Update Risk Map severity/penalty presentation to priority-first, calm language.</w:t>
      </w:r>
    </w:p>
    <w:p>
      <w:pPr>
        <w:pStyle w:val="ListBullet"/>
      </w:pPr>
      <w:r>
        <w:t>Add the AI behavior/human-handoff layer to AI Governance and system behavior.</w:t>
      </w:r>
    </w:p>
    <w:p>
      <w:pPr>
        <w:pStyle w:val="ListBullet"/>
      </w:pPr>
      <w:r>
        <w:t>Add pricing-page statement that provider payment does not buy a better organic match.</w:t>
      </w:r>
    </w:p>
    <w:p>
      <w:pPr>
        <w:pStyle w:val="Heading2"/>
      </w:pPr>
      <w:r>
        <w:t>P1 — Product voice and transparency</w:t>
      </w:r>
    </w:p>
    <w:p>
      <w:pPr>
        <w:pStyle w:val="ListBullet"/>
      </w:pPr>
      <w:r>
        <w:t>Add explainable ✓ / gap criteria to provider match percentages.</w:t>
      </w:r>
    </w:p>
    <w:p>
      <w:pPr>
        <w:pStyle w:val="ListBullet"/>
      </w:pPr>
      <w:r>
        <w:t>Audit all AI/search answers against the new voice standard.</w:t>
      </w:r>
    </w:p>
    <w:p>
      <w:pPr>
        <w:pStyle w:val="ListBullet"/>
      </w:pPr>
      <w:r>
        <w:t>Audit wizard microcopy for purpose, clarity, and unnecessary questions.</w:t>
      </w:r>
    </w:p>
    <w:p>
      <w:pPr>
        <w:pStyle w:val="ListBullet"/>
      </w:pPr>
      <w:r>
        <w:t>Rename partner “Trust Score” to a quality/service-oriented term.</w:t>
      </w:r>
    </w:p>
    <w:p>
      <w:pPr>
        <w:pStyle w:val="ListBullet"/>
      </w:pPr>
      <w:r>
        <w:t>Standardize German localization, including units such as “14 Tage” rather than “14 days”.</w:t>
      </w:r>
    </w:p>
    <w:p>
      <w:pPr>
        <w:pStyle w:val="Heading2"/>
      </w:pPr>
      <w:r>
        <w:t>P2 — Long-term companion experience</w:t>
      </w:r>
    </w:p>
    <w:p>
      <w:pPr>
        <w:pStyle w:val="ListBullet"/>
      </w:pPr>
      <w:r>
        <w:t>Add “Since your last visit” / relevant-change concept when monitoring data is ready.</w:t>
      </w:r>
    </w:p>
    <w:p>
      <w:pPr>
        <w:pStyle w:val="ListBullet"/>
      </w:pPr>
      <w:r>
        <w:t>Add richer post-meeting outcome feedback and provider-quality loop.</w:t>
      </w:r>
    </w:p>
    <w:p>
      <w:pPr>
        <w:pStyle w:val="ListBullet"/>
      </w:pPr>
      <w:r>
        <w:t>Add failed/no-show provider support flow.</w:t>
      </w:r>
    </w:p>
    <w:p>
      <w:pPr>
        <w:pStyle w:val="ListBullet"/>
      </w:pPr>
      <w:r>
        <w:t>Surface re-assessment when the user’s business changes.</w:t>
      </w:r>
    </w:p>
    <w:p>
      <w:pPr>
        <w:pStyle w:val="Heading1"/>
      </w:pPr>
      <w:r>
        <w:t>10. KEEP / CHANGE / ADD / AVOID</w:t>
      </w:r>
    </w:p>
    <w:p>
      <w:pPr>
        <w:pStyle w:val="Heading2"/>
      </w:pPr>
      <w:r>
        <w:t>KEEP</w:t>
      </w:r>
    </w:p>
    <w:p>
      <w:pPr>
        <w:pStyle w:val="ListBullet"/>
      </w:pPr>
      <w:r>
        <w:t>Overall visual identity, calm premium presentation, and logo/slogan treatment.</w:t>
      </w:r>
    </w:p>
    <w:p>
      <w:pPr>
        <w:pStyle w:val="ListBullet"/>
      </w:pPr>
      <w:r>
        <w:t>Two-entry journey: ask a question or start assessment.</w:t>
      </w:r>
    </w:p>
    <w:p>
      <w:pPr>
        <w:pStyle w:val="ListBullet"/>
      </w:pPr>
      <w:r>
        <w:t>Risk Map as the core clarity moment.</w:t>
      </w:r>
    </w:p>
    <w:p>
      <w:pPr>
        <w:pStyle w:val="ListBullet"/>
      </w:pPr>
      <w:r>
        <w:t>Anonymous provider matching before identity reveal.</w:t>
      </w:r>
    </w:p>
    <w:p>
      <w:pPr>
        <w:pStyle w:val="ListBullet"/>
      </w:pPr>
      <w:r>
        <w:t>Free user assessment / Risk Map / matching model.</w:t>
      </w:r>
    </w:p>
    <w:p>
      <w:pPr>
        <w:pStyle w:val="ListBullet"/>
      </w:pPr>
      <w:r>
        <w:t>Returning-user dashboard and continue-where-you-left-off behavior.</w:t>
      </w:r>
    </w:p>
    <w:p>
      <w:pPr>
        <w:pStyle w:val="ListBullet"/>
      </w:pPr>
      <w:r>
        <w:t>AI governance transparency and expert-complement principle.</w:t>
      </w:r>
    </w:p>
    <w:p>
      <w:pPr>
        <w:pStyle w:val="ListBullet"/>
      </w:pPr>
      <w:r>
        <w:t>Partner ranking transparency and performance feedback.</w:t>
      </w:r>
    </w:p>
    <w:p>
      <w:pPr>
        <w:pStyle w:val="Heading2"/>
      </w:pPr>
      <w:r>
        <w:t>CHANGE</w:t>
      </w:r>
    </w:p>
    <w:p>
      <w:pPr>
        <w:pStyle w:val="ListBullet"/>
      </w:pPr>
      <w:r>
        <w:t>Expansion-led master language on Solutions.</w:t>
      </w:r>
    </w:p>
    <w:p>
      <w:pPr>
        <w:pStyle w:val="ListBullet"/>
      </w:pPr>
      <w:r>
        <w:t>Risk-first/alarmist labels where priority language can communicate the same action more calmly.</w:t>
      </w:r>
    </w:p>
    <w:p>
      <w:pPr>
        <w:pStyle w:val="ListBullet"/>
      </w:pPr>
      <w:r>
        <w:t>Penalty amounts as primary persuasion/attention devices in Risk Map rows.</w:t>
      </w:r>
    </w:p>
    <w:p>
      <w:pPr>
        <w:pStyle w:val="ListBullet"/>
      </w:pPr>
      <w:r>
        <w:t>System-centric AI language without a human-centered explanation layer.</w:t>
      </w:r>
    </w:p>
    <w:p>
      <w:pPr>
        <w:pStyle w:val="ListBullet"/>
      </w:pPr>
      <w:r>
        <w:t>“Trust Score” naming in partner performance.</w:t>
      </w:r>
    </w:p>
    <w:p>
      <w:pPr>
        <w:pStyle w:val="Heading2"/>
      </w:pPr>
      <w:r>
        <w:t>ADD</w:t>
      </w:r>
    </w:p>
    <w:p>
      <w:pPr>
        <w:pStyle w:val="ListBullet"/>
      </w:pPr>
      <w:r>
        <w:t>Why We Exist, Purpose, Mission, and Vision page content.</w:t>
      </w:r>
    </w:p>
    <w:p>
      <w:pPr>
        <w:pStyle w:val="ListBullet"/>
      </w:pPr>
      <w:r>
        <w:t>Public explanation that provider payment does not buy ranking.</w:t>
      </w:r>
    </w:p>
    <w:p>
      <w:pPr>
        <w:pStyle w:val="ListBullet"/>
      </w:pPr>
      <w:r>
        <w:t>AI personality and human-handoff behavior.</w:t>
      </w:r>
    </w:p>
    <w:p>
      <w:pPr>
        <w:pStyle w:val="ListBullet"/>
      </w:pPr>
      <w:r>
        <w:t>Explainable provider match criteria.</w:t>
      </w:r>
    </w:p>
    <w:p>
      <w:pPr>
        <w:pStyle w:val="ListBullet"/>
      </w:pPr>
      <w:r>
        <w:t>Long-term companion / after-connection message.</w:t>
      </w:r>
    </w:p>
    <w:p>
      <w:pPr>
        <w:pStyle w:val="ListBullet"/>
      </w:pPr>
      <w:r>
        <w:t>Outcome-based provider feedback and failure-support experience.</w:t>
      </w:r>
    </w:p>
    <w:p>
      <w:pPr>
        <w:pStyle w:val="Heading2"/>
      </w:pPr>
      <w:r>
        <w:t>AVOID</w:t>
      </w:r>
    </w:p>
    <w:p>
      <w:pPr>
        <w:pStyle w:val="ListBullet"/>
      </w:pPr>
      <w:r>
        <w:t>Calling CompliHub360 a global expansion platform.</w:t>
      </w:r>
    </w:p>
    <w:p>
      <w:pPr>
        <w:pStyle w:val="ListBullet"/>
      </w:pPr>
      <w:r>
        <w:t>Fear-led conversion copy.</w:t>
      </w:r>
    </w:p>
    <w:p>
      <w:pPr>
        <w:pStyle w:val="ListBullet"/>
      </w:pPr>
      <w:r>
        <w:t>Claims that all compliance questions have one universal interpretation.</w:t>
      </w:r>
    </w:p>
    <w:p>
      <w:pPr>
        <w:pStyle w:val="ListBullet"/>
      </w:pPr>
      <w:r>
        <w:t>Provider-bashing or framing providers as the enemy.</w:t>
      </w:r>
    </w:p>
    <w:p>
      <w:pPr>
        <w:pStyle w:val="ListBullet"/>
      </w:pPr>
      <w:r>
        <w:t>AI pretending to be a human professional.</w:t>
      </w:r>
    </w:p>
    <w:p>
      <w:pPr>
        <w:pStyle w:val="ListBullet"/>
      </w:pPr>
      <w:r>
        <w:t>Generic hype: revolutionary, game-changing, #1, ultimate.</w:t>
      </w:r>
    </w:p>
    <w:p>
      <w:pPr>
        <w:pStyle w:val="ListBullet"/>
      </w:pPr>
      <w:r>
        <w:t>Making users repeat information CompliHub360 already appropriately knows.</w:t>
      </w:r>
    </w:p>
    <w:p>
      <w:pPr>
        <w:pStyle w:val="Heading1"/>
      </w:pPr>
      <w:r>
        <w:t>11. Final Developer Acceptance Test</w:t>
      </w:r>
    </w:p>
    <w:p>
      <w:pPr>
        <w:ind w:left="360"/>
      </w:pPr>
      <w:r>
        <w:rPr>
          <w:b/>
          <w:sz w:val="23"/>
        </w:rPr>
        <w:t>Does the implementation make the user feel seen, understood, informed, and in control?</w:t>
      </w:r>
    </w:p>
    <w:p>
      <w:pPr>
        <w:pStyle w:val="ListBullet"/>
      </w:pPr>
      <w:r>
        <w:t>Can a first-time visitor understand what CompliHub360 is without reading a service catalog?</w:t>
      </w:r>
    </w:p>
    <w:p>
      <w:pPr>
        <w:pStyle w:val="ListBullet"/>
      </w:pPr>
      <w:r>
        <w:t>Does the user understand before being asked to choose a provider?</w:t>
      </w:r>
    </w:p>
    <w:p>
      <w:pPr>
        <w:pStyle w:val="ListBullet"/>
      </w:pPr>
      <w:r>
        <w:t>Does the Risk Map prioritize without creating unnecessary fear?</w:t>
      </w:r>
    </w:p>
    <w:p>
      <w:pPr>
        <w:pStyle w:val="ListBullet"/>
      </w:pPr>
      <w:r>
        <w:t>Can the user understand why one provider is a 94% match and another is 81%?</w:t>
      </w:r>
    </w:p>
    <w:p>
      <w:pPr>
        <w:pStyle w:val="ListBullet"/>
      </w:pPr>
      <w:r>
        <w:t>Can a smaller excellent provider win on quality and fit?</w:t>
      </w:r>
    </w:p>
    <w:p>
      <w:pPr>
        <w:pStyle w:val="ListBullet"/>
      </w:pPr>
      <w:r>
        <w:t>Does AI admit uncertainty and make human help easy?</w:t>
      </w:r>
    </w:p>
    <w:p>
      <w:pPr>
        <w:pStyle w:val="ListBullet"/>
      </w:pPr>
      <w:r>
        <w:t>Does the returning user feel remembered?</w:t>
      </w:r>
    </w:p>
    <w:p>
      <w:pPr>
        <w:pStyle w:val="ListBullet"/>
      </w:pPr>
      <w:r>
        <w:t>Does the site prove “Always on your side” through behavior rather than repeating “trust us”?</w:t>
      </w:r>
    </w:p>
    <w:p>
      <w:pPr>
        <w:ind w:left="360"/>
      </w:pPr>
      <w:r>
        <w:rPr>
          <w:b/>
          <w:sz w:val="23"/>
        </w:rPr>
        <w:t>The complexity belongs to us. The simplicity belongs to the user.</w:t>
      </w:r>
    </w:p>
    <w:p>
      <w:pPr>
        <w:jc w:val="center"/>
      </w:pPr>
      <w:r>
        <w:rPr>
          <w:b/>
          <w:i w:val="0"/>
          <w:sz w:val="28"/>
        </w:rPr>
        <w:t>CompliHub360 — Always on your side.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CompliHub360 — Developer DNA &amp; Website Audit Addendum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