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pPr>
      <w:r>
        <w:rPr>
          <w:b/>
          <w:color w:val="14A6A1"/>
          <w:sz w:val="28"/>
        </w:rPr>
        <w:t>COMPLIHUB360</w:t>
      </w:r>
    </w:p>
    <w:p>
      <w:pPr>
        <w:pStyle w:val="Title"/>
      </w:pPr>
      <w:r>
        <w:t>Website Copy &amp;</w:t>
        <w:br/>
        <w:t>Implementation Handover</w:t>
      </w:r>
    </w:p>
    <w:p>
      <w:r>
        <w:rPr>
          <w:i/>
          <w:color w:val="4A5A63"/>
          <w:sz w:val="26"/>
        </w:rPr>
        <w:t>Approved English homepage content, UX wording, tooltips, and developer requirements</w:t>
      </w:r>
    </w:p>
    <w:p>
      <w:r>
        <w:br/>
      </w:r>
    </w:p>
    <w:tbl>
      <w:tblPr>
        <w:tblW w:type="auto" w:w="0"/>
        <w:jc w:val="center"/>
        <w:tblLayout w:type="fixed"/>
        <w:tblLook w:firstColumn="1" w:firstRow="1" w:lastColumn="0" w:lastRow="0" w:noHBand="0" w:noVBand="1" w:val="04A0"/>
      </w:tblPr>
      <w:tblGrid>
        <w:gridCol w:w="9792"/>
      </w:tblGrid>
      <w:tr>
        <w:trPr>
          <w:cantSplit/>
        </w:trPr>
        <w:tc>
          <w:tcPr>
            <w:tcW w:type="dxa" w:w="9994"/>
            <w:shd w:fill="EEF4F7"/>
            <w:tcMar>
              <w:top w:w="90" w:type="dxa"/>
              <w:start w:w="110" w:type="dxa"/>
              <w:bottom w:w="90" w:type="dxa"/>
              <w:end w:w="110" w:type="dxa"/>
            </w:tcMar>
            <w:vAlign w:val="center"/>
          </w:tcPr>
          <w:p>
            <w:pPr>
              <w:pStyle w:val="ApprovedBox"/>
            </w:pPr>
            <w:r>
              <w:rPr>
                <w:rFonts w:ascii="Aptos" w:hAnsi="Aptos"/>
                <w:b/>
                <w:color w:val="14A6A1"/>
                <w:sz w:val="16"/>
              </w:rPr>
              <w:t>DOCUMENT STATUS</w:t>
            </w:r>
          </w:p>
          <w:p>
            <w:pPr>
              <w:pStyle w:val="ApprovedBox"/>
              <w:spacing w:after="40"/>
            </w:pPr>
            <w:r>
              <w:rPr>
                <w:rFonts w:ascii="Aptos" w:hAnsi="Aptos"/>
                <w:sz w:val="16"/>
              </w:rPr>
              <w:t>Final approved copy for implementation</w:t>
            </w:r>
          </w:p>
          <w:p>
            <w:pPr>
              <w:pStyle w:val="ApprovedBox"/>
              <w:spacing w:after="40"/>
            </w:pPr>
            <w:r>
              <w:rPr>
                <w:rFonts w:ascii="Aptos" w:hAnsi="Aptos"/>
                <w:sz w:val="16"/>
              </w:rPr>
              <w:t>Prepared for: CompliHub360 development team</w:t>
            </w:r>
          </w:p>
          <w:p>
            <w:pPr>
              <w:pStyle w:val="ApprovedBox"/>
              <w:spacing w:after="40"/>
            </w:pPr>
            <w:r>
              <w:rPr>
                <w:rFonts w:ascii="Aptos" w:hAnsi="Aptos"/>
                <w:sz w:val="16"/>
              </w:rPr>
              <w:t>Version: 1.0 | 18 September 2026</w:t>
            </w:r>
          </w:p>
          <w:p>
            <w:pPr>
              <w:pStyle w:val="ApprovedBox"/>
              <w:spacing w:after="40"/>
            </w:pPr>
            <w:r>
              <w:rPr>
                <w:rFonts w:ascii="Aptos" w:hAnsi="Aptos"/>
                <w:sz w:val="16"/>
              </w:rPr>
              <w:t>Brand promise: Always on your side.</w:t>
            </w:r>
          </w:p>
        </w:tc>
      </w:tr>
    </w:tbl>
    <w:p>
      <w:pPr>
        <w:spacing w:after="0"/>
      </w:pPr>
    </w:p>
    <w:p>
      <w:pPr>
        <w:spacing w:before="320"/>
      </w:pPr>
      <w:r>
        <w:rPr>
          <w:b/>
          <w:color w:val="123047"/>
          <w:sz w:val="22"/>
        </w:rPr>
        <w:t>Purpose</w:t>
      </w:r>
    </w:p>
    <w:p>
      <w:r>
        <w:t>This document replaces the existing English homepage wording. It shows the current wording, the approved replacement, and the implementation rules needed to preserve the intended user journey, fair-matching model, and legal boundaries.</w:t>
      </w:r>
    </w:p>
    <w:p>
      <w:r>
        <w:br w:type="page"/>
      </w:r>
    </w:p>
    <w:p>
      <w:pPr>
        <w:pStyle w:val="Heading1"/>
      </w:pPr>
      <w:r>
        <w:t>How to Use This Document</w:t>
      </w:r>
    </w:p>
    <w:tbl>
      <w:tblPr>
        <w:tblW w:type="auto" w:w="0"/>
        <w:jc w:val="center"/>
        <w:tblLayout w:type="fixed"/>
        <w:tblLook w:firstColumn="1" w:firstRow="1" w:lastColumn="0" w:lastRow="0" w:noHBand="0" w:noVBand="1" w:val="04A0"/>
      </w:tblPr>
      <w:tblGrid>
        <w:gridCol w:w="9792"/>
      </w:tblGrid>
      <w:tr>
        <w:trPr>
          <w:cantSplit/>
        </w:trPr>
        <w:tc>
          <w:tcPr>
            <w:tcW w:type="dxa" w:w="9994"/>
            <w:shd w:fill="E9F6EE"/>
            <w:tcMar>
              <w:top w:w="90" w:type="dxa"/>
              <w:start w:w="110" w:type="dxa"/>
              <w:bottom w:w="90" w:type="dxa"/>
              <w:end w:w="110" w:type="dxa"/>
            </w:tcMar>
            <w:vAlign w:val="center"/>
          </w:tcPr>
          <w:p>
            <w:pPr>
              <w:pStyle w:val="ApprovedBox"/>
            </w:pPr>
            <w:r>
              <w:rPr>
                <w:rFonts w:ascii="Aptos" w:hAnsi="Aptos"/>
                <w:b/>
                <w:color w:val="14A6A1"/>
                <w:sz w:val="16"/>
              </w:rPr>
              <w:t>STATUS KEY</w:t>
            </w:r>
          </w:p>
          <w:p>
            <w:pPr>
              <w:pStyle w:val="ApprovedBox"/>
              <w:spacing w:after="40"/>
            </w:pPr>
            <w:r>
              <w:rPr>
                <w:rFonts w:ascii="Aptos" w:hAnsi="Aptos"/>
                <w:sz w:val="16"/>
              </w:rPr>
              <w:t>APPROVED — Copy may be implemented as written.</w:t>
            </w:r>
          </w:p>
          <w:p>
            <w:pPr>
              <w:pStyle w:val="ApprovedBox"/>
              <w:spacing w:after="40"/>
            </w:pPr>
            <w:r>
              <w:rPr>
                <w:rFonts w:ascii="Aptos" w:hAnsi="Aptos"/>
                <w:sz w:val="16"/>
              </w:rPr>
              <w:t>TOOLTIP — Display as contextual help; do not add permanently to the main body.</w:t>
            </w:r>
          </w:p>
          <w:p>
            <w:pPr>
              <w:pStyle w:val="ApprovedBox"/>
              <w:spacing w:after="40"/>
            </w:pPr>
            <w:r>
              <w:rPr>
                <w:rFonts w:ascii="Aptos" w:hAnsi="Aptos"/>
                <w:sz w:val="16"/>
              </w:rPr>
              <w:t>CONFIRM BEFORE LAUNCH — Do not present the capability as available until it has been implemented and verified.</w:t>
            </w:r>
          </w:p>
          <w:p>
            <w:pPr>
              <w:pStyle w:val="ApprovedBox"/>
              <w:spacing w:after="40"/>
            </w:pPr>
            <w:r>
              <w:rPr>
                <w:rFonts w:ascii="Aptos" w:hAnsi="Aptos"/>
                <w:sz w:val="16"/>
              </w:rPr>
              <w:t>LEGAL REVIEW — Keep aligned with the final Privacy Policy, Terms of Use, Cookie Policy, and provider agreements.</w:t>
            </w:r>
          </w:p>
        </w:tc>
      </w:tr>
    </w:tbl>
    <w:p>
      <w:pPr>
        <w:spacing w:after="0"/>
      </w:pPr>
    </w:p>
    <w:p>
      <w:pPr>
        <w:pStyle w:val="Heading2"/>
      </w:pPr>
      <w:r>
        <w:t>Non-Negotiable Brand and UX Rules</w:t>
      </w:r>
    </w:p>
    <w:p>
      <w:pPr>
        <w:pStyle w:val="ListBullet"/>
      </w:pPr>
      <w:r>
        <w:t>Professional first. Human always.</w:t>
      </w:r>
    </w:p>
    <w:p>
      <w:pPr>
        <w:pStyle w:val="ListBullet"/>
      </w:pPr>
      <w:r>
        <w:t>Explain simply and name technical or regulatory terms precisely.</w:t>
      </w:r>
    </w:p>
    <w:p>
      <w:pPr>
        <w:pStyle w:val="ListBullet"/>
      </w:pPr>
      <w:r>
        <w:t>Do not use fear, pressure, exaggerated promises, competitor attacks, or unverified claims.</w:t>
      </w:r>
    </w:p>
    <w:p>
      <w:pPr>
        <w:pStyle w:val="ListBullet"/>
      </w:pPr>
      <w:r>
        <w:t>CompliHub360 is a compliance information and provider-matching platform. It is not a law firm, accounting firm, tax adviser, customs broker, or regulatory authority.</w:t>
      </w:r>
    </w:p>
    <w:p>
      <w:pPr>
        <w:pStyle w:val="ListBullet"/>
      </w:pPr>
      <w:r>
        <w:t>Users seeking professional support are not charged for using CompliHub360 to find providers.</w:t>
      </w:r>
    </w:p>
    <w:p>
      <w:pPr>
        <w:pStyle w:val="ListBullet"/>
      </w:pPr>
      <w:r>
        <w:t>Provider commercial arrangements must never influence matching or ranking.</w:t>
      </w:r>
    </w:p>
    <w:p>
      <w:pPr>
        <w:pStyle w:val="ListBullet"/>
      </w:pPr>
      <w:r>
        <w:t>Provider identities remain hidden during initial comparison and are revealed after the user chooses and books a consultation.</w:t>
      </w:r>
    </w:p>
    <w:p>
      <w:pPr>
        <w:pStyle w:val="ListBullet"/>
      </w:pPr>
      <w:r>
        <w:t>Only information needed to process the request is shared, according to the user’s choices and the Privacy Policy.</w:t>
      </w:r>
    </w:p>
    <w:p>
      <w:pPr>
        <w:pStyle w:val="ListBullet"/>
      </w:pPr>
      <w:r>
        <w:t>Use official authority sources for regulatory statements and show the authority, source link, and review/update date where applicable.</w:t>
      </w:r>
    </w:p>
    <w:p>
      <w:pPr>
        <w:pStyle w:val="ListBullet"/>
      </w:pPr>
      <w:r>
        <w:t>Service availability must be qualified by country, requirement, and provider-network coverage.</w:t>
      </w:r>
    </w:p>
    <w:p>
      <w:pPr>
        <w:pStyle w:val="Heading2"/>
      </w:pPr>
      <w:r>
        <w:t>Approved Terminology</w:t>
      </w:r>
    </w:p>
    <w:tbl>
      <w:tblPr>
        <w:tblStyle w:val="LightShading-Accent1"/>
        <w:tblW w:type="auto" w:w="0"/>
        <w:jc w:val="center"/>
        <w:tblLook w:firstColumn="1" w:firstRow="1" w:lastColumn="0" w:lastRow="0" w:noHBand="0" w:noVBand="1" w:val="04A0"/>
      </w:tblPr>
      <w:tblGrid>
        <w:gridCol w:w="4997"/>
        <w:gridCol w:w="4997"/>
      </w:tblGrid>
      <w:tr>
        <w:trPr>
          <w:cantSplit/>
          <w:tblHeader w:val="true"/>
        </w:trPr>
        <w:tc>
          <w:tcPr>
            <w:tcW w:type="dxa" w:w="4997"/>
            <w:tcMar>
              <w:top w:w="90" w:type="dxa"/>
              <w:start w:w="110" w:type="dxa"/>
              <w:bottom w:w="90" w:type="dxa"/>
              <w:end w:w="110" w:type="dxa"/>
            </w:tcMar>
            <w:shd w:fill="123047"/>
          </w:tcPr>
          <w:p>
            <w:r>
              <w:rPr>
                <w:rFonts w:ascii="Aptos" w:hAnsi="Aptos"/>
                <w:b/>
                <w:color w:val="FFFFFF"/>
                <w:sz w:val="16"/>
              </w:rPr>
              <w:t>Replace</w:t>
            </w:r>
          </w:p>
        </w:tc>
        <w:tc>
          <w:tcPr>
            <w:tcW w:type="dxa" w:w="4997"/>
            <w:tcMar>
              <w:top w:w="90" w:type="dxa"/>
              <w:start w:w="110" w:type="dxa"/>
              <w:bottom w:w="90" w:type="dxa"/>
              <w:end w:w="110" w:type="dxa"/>
            </w:tcMar>
            <w:shd w:fill="123047"/>
          </w:tcPr>
          <w:p>
            <w:r>
              <w:rPr>
                <w:rFonts w:ascii="Aptos" w:hAnsi="Aptos"/>
                <w:b/>
                <w:color w:val="FFFFFF"/>
                <w:sz w:val="16"/>
              </w:rPr>
              <w:t>Use</w:t>
            </w:r>
          </w:p>
        </w:tc>
      </w:tr>
      <w:tr>
        <w:trPr>
          <w:cantSplit/>
        </w:trPr>
        <w:tc>
          <w:tcPr>
            <w:tcW w:type="dxa" w:w="4997"/>
            <w:tcMar>
              <w:top w:w="90" w:type="dxa"/>
              <w:start w:w="110" w:type="dxa"/>
              <w:bottom w:w="90" w:type="dxa"/>
              <w:end w:w="110" w:type="dxa"/>
            </w:tcMar>
          </w:tcPr>
          <w:p>
            <w:r>
              <w:rPr>
                <w:rFonts w:ascii="Aptos" w:hAnsi="Aptos"/>
                <w:sz w:val="16"/>
              </w:rPr>
              <w:t>Corporate &amp; Structure</w:t>
            </w:r>
          </w:p>
        </w:tc>
        <w:tc>
          <w:tcPr>
            <w:tcW w:type="dxa" w:w="4997"/>
            <w:tcMar>
              <w:top w:w="90" w:type="dxa"/>
              <w:start w:w="110" w:type="dxa"/>
              <w:bottom w:w="90" w:type="dxa"/>
              <w:end w:w="110" w:type="dxa"/>
            </w:tcMar>
          </w:tcPr>
          <w:p>
            <w:r>
              <w:rPr>
                <w:rFonts w:ascii="Aptos" w:hAnsi="Aptos"/>
                <w:sz w:val="16"/>
              </w:rPr>
              <w:t>Company Setup &amp; Filings</w:t>
            </w:r>
          </w:p>
        </w:tc>
      </w:tr>
      <w:tr>
        <w:trPr>
          <w:cantSplit/>
        </w:trPr>
        <w:tc>
          <w:tcPr>
            <w:tcW w:type="dxa" w:w="4997"/>
            <w:tcMar>
              <w:top w:w="90" w:type="dxa"/>
              <w:start w:w="110" w:type="dxa"/>
              <w:bottom w:w="90" w:type="dxa"/>
              <w:end w:w="110" w:type="dxa"/>
            </w:tcMar>
          </w:tcPr>
          <w:p>
            <w:r>
              <w:rPr>
                <w:rFonts w:ascii="Aptos" w:hAnsi="Aptos"/>
                <w:sz w:val="16"/>
              </w:rPr>
              <w:t>Legal Advisory</w:t>
            </w:r>
          </w:p>
        </w:tc>
        <w:tc>
          <w:tcPr>
            <w:tcW w:type="dxa" w:w="4997"/>
            <w:tcMar>
              <w:top w:w="90" w:type="dxa"/>
              <w:start w:w="110" w:type="dxa"/>
              <w:bottom w:w="90" w:type="dxa"/>
              <w:end w:w="110" w:type="dxa"/>
            </w:tcMar>
          </w:tcPr>
          <w:p>
            <w:r>
              <w:rPr>
                <w:rFonts w:ascii="Aptos" w:hAnsi="Aptos"/>
                <w:sz w:val="16"/>
              </w:rPr>
              <w:t>Legal Support</w:t>
            </w:r>
          </w:p>
        </w:tc>
      </w:tr>
      <w:tr>
        <w:trPr>
          <w:cantSplit/>
        </w:trPr>
        <w:tc>
          <w:tcPr>
            <w:tcW w:type="dxa" w:w="4997"/>
            <w:tcMar>
              <w:top w:w="90" w:type="dxa"/>
              <w:start w:w="110" w:type="dxa"/>
              <w:bottom w:w="90" w:type="dxa"/>
              <w:end w:w="110" w:type="dxa"/>
            </w:tcMar>
          </w:tcPr>
          <w:p>
            <w:r>
              <w:rPr>
                <w:rFonts w:ascii="Aptos" w:hAnsi="Aptos"/>
                <w:sz w:val="16"/>
              </w:rPr>
              <w:t>Domain</w:t>
            </w:r>
          </w:p>
        </w:tc>
        <w:tc>
          <w:tcPr>
            <w:tcW w:type="dxa" w:w="4997"/>
            <w:tcMar>
              <w:top w:w="90" w:type="dxa"/>
              <w:start w:w="110" w:type="dxa"/>
              <w:bottom w:w="90" w:type="dxa"/>
              <w:end w:w="110" w:type="dxa"/>
            </w:tcMar>
          </w:tcPr>
          <w:p>
            <w:r>
              <w:rPr>
                <w:rFonts w:ascii="Aptos" w:hAnsi="Aptos"/>
                <w:sz w:val="16"/>
              </w:rPr>
              <w:t>Area</w:t>
            </w:r>
          </w:p>
        </w:tc>
      </w:tr>
      <w:tr>
        <w:trPr>
          <w:cantSplit/>
        </w:trPr>
        <w:tc>
          <w:tcPr>
            <w:tcW w:type="dxa" w:w="4997"/>
            <w:tcMar>
              <w:top w:w="90" w:type="dxa"/>
              <w:start w:w="110" w:type="dxa"/>
              <w:bottom w:w="90" w:type="dxa"/>
              <w:end w:w="110" w:type="dxa"/>
            </w:tcMar>
          </w:tcPr>
          <w:p>
            <w:r>
              <w:rPr>
                <w:rFonts w:ascii="Aptos" w:hAnsi="Aptos"/>
                <w:sz w:val="16"/>
              </w:rPr>
              <w:t>Verified Partner</w:t>
            </w:r>
          </w:p>
        </w:tc>
        <w:tc>
          <w:tcPr>
            <w:tcW w:type="dxa" w:w="4997"/>
            <w:tcMar>
              <w:top w:w="90" w:type="dxa"/>
              <w:start w:w="110" w:type="dxa"/>
              <w:bottom w:w="90" w:type="dxa"/>
              <w:end w:w="110" w:type="dxa"/>
            </w:tcMar>
          </w:tcPr>
          <w:p>
            <w:r>
              <w:rPr>
                <w:rFonts w:ascii="Aptos" w:hAnsi="Aptos"/>
                <w:sz w:val="16"/>
              </w:rPr>
              <w:t>Verified Provider</w:t>
            </w:r>
          </w:p>
        </w:tc>
      </w:tr>
      <w:tr>
        <w:trPr>
          <w:cantSplit/>
        </w:trPr>
        <w:tc>
          <w:tcPr>
            <w:tcW w:type="dxa" w:w="4997"/>
            <w:tcMar>
              <w:top w:w="90" w:type="dxa"/>
              <w:start w:w="110" w:type="dxa"/>
              <w:bottom w:w="90" w:type="dxa"/>
              <w:end w:w="110" w:type="dxa"/>
            </w:tcMar>
          </w:tcPr>
          <w:p>
            <w:r>
              <w:rPr>
                <w:rFonts w:ascii="Aptos" w:hAnsi="Aptos"/>
                <w:sz w:val="16"/>
              </w:rPr>
              <w:t>Severity</w:t>
            </w:r>
          </w:p>
        </w:tc>
        <w:tc>
          <w:tcPr>
            <w:tcW w:type="dxa" w:w="4997"/>
            <w:tcMar>
              <w:top w:w="90" w:type="dxa"/>
              <w:start w:w="110" w:type="dxa"/>
              <w:bottom w:w="90" w:type="dxa"/>
              <w:end w:w="110" w:type="dxa"/>
            </w:tcMar>
          </w:tcPr>
          <w:p>
            <w:r>
              <w:rPr>
                <w:rFonts w:ascii="Aptos" w:hAnsi="Aptos"/>
                <w:sz w:val="16"/>
              </w:rPr>
              <w:t>Priority</w:t>
            </w:r>
          </w:p>
        </w:tc>
      </w:tr>
      <w:tr>
        <w:trPr>
          <w:cantSplit/>
        </w:trPr>
        <w:tc>
          <w:tcPr>
            <w:tcW w:type="dxa" w:w="4997"/>
            <w:tcMar>
              <w:top w:w="90" w:type="dxa"/>
              <w:start w:w="110" w:type="dxa"/>
              <w:bottom w:w="90" w:type="dxa"/>
              <w:end w:w="110" w:type="dxa"/>
            </w:tcMar>
          </w:tcPr>
          <w:p>
            <w:r>
              <w:rPr>
                <w:rFonts w:ascii="Aptos" w:hAnsi="Aptos"/>
                <w:sz w:val="16"/>
              </w:rPr>
              <w:t>Immediate / Critical</w:t>
            </w:r>
          </w:p>
        </w:tc>
        <w:tc>
          <w:tcPr>
            <w:tcW w:type="dxa" w:w="4997"/>
            <w:tcMar>
              <w:top w:w="90" w:type="dxa"/>
              <w:start w:w="110" w:type="dxa"/>
              <w:bottom w:w="90" w:type="dxa"/>
              <w:end w:w="110" w:type="dxa"/>
            </w:tcMar>
          </w:tcPr>
          <w:p>
            <w:r>
              <w:rPr>
                <w:rFonts w:ascii="Aptos" w:hAnsi="Aptos"/>
                <w:sz w:val="16"/>
              </w:rPr>
              <w:t>Urgent</w:t>
            </w:r>
          </w:p>
        </w:tc>
      </w:tr>
      <w:tr>
        <w:trPr>
          <w:cantSplit/>
        </w:trPr>
        <w:tc>
          <w:tcPr>
            <w:tcW w:type="dxa" w:w="4997"/>
            <w:tcMar>
              <w:top w:w="90" w:type="dxa"/>
              <w:start w:w="110" w:type="dxa"/>
              <w:bottom w:w="90" w:type="dxa"/>
              <w:end w:w="110" w:type="dxa"/>
            </w:tcMar>
          </w:tcPr>
          <w:p>
            <w:r>
              <w:rPr>
                <w:rFonts w:ascii="Aptos" w:hAnsi="Aptos"/>
                <w:sz w:val="16"/>
              </w:rPr>
              <w:t>Start the Risk Map</w:t>
            </w:r>
          </w:p>
        </w:tc>
        <w:tc>
          <w:tcPr>
            <w:tcW w:type="dxa" w:w="4997"/>
            <w:tcMar>
              <w:top w:w="90" w:type="dxa"/>
              <w:start w:w="110" w:type="dxa"/>
              <w:bottom w:w="90" w:type="dxa"/>
              <w:end w:w="110" w:type="dxa"/>
            </w:tcMar>
          </w:tcPr>
          <w:p>
            <w:r>
              <w:rPr>
                <w:rFonts w:ascii="Aptos" w:hAnsi="Aptos"/>
                <w:sz w:val="16"/>
              </w:rPr>
              <w:t>Assess My Needs</w:t>
            </w:r>
          </w:p>
        </w:tc>
      </w:tr>
      <w:tr>
        <w:trPr>
          <w:cantSplit/>
        </w:trPr>
        <w:tc>
          <w:tcPr>
            <w:tcW w:type="dxa" w:w="4997"/>
            <w:tcMar>
              <w:top w:w="90" w:type="dxa"/>
              <w:start w:w="110" w:type="dxa"/>
              <w:bottom w:w="90" w:type="dxa"/>
              <w:end w:w="110" w:type="dxa"/>
            </w:tcMar>
          </w:tcPr>
          <w:p>
            <w:r>
              <w:rPr>
                <w:rFonts w:ascii="Aptos" w:hAnsi="Aptos"/>
                <w:sz w:val="16"/>
              </w:rPr>
              <w:t>Generate My Risk Map</w:t>
            </w:r>
          </w:p>
        </w:tc>
        <w:tc>
          <w:tcPr>
            <w:tcW w:type="dxa" w:w="4997"/>
            <w:tcMar>
              <w:top w:w="90" w:type="dxa"/>
              <w:start w:w="110" w:type="dxa"/>
              <w:bottom w:w="90" w:type="dxa"/>
              <w:end w:w="110" w:type="dxa"/>
            </w:tcMar>
          </w:tcPr>
          <w:p>
            <w:r>
              <w:rPr>
                <w:rFonts w:ascii="Aptos" w:hAnsi="Aptos"/>
                <w:sz w:val="16"/>
              </w:rPr>
              <w:t>Create My Risk Map</w:t>
            </w:r>
          </w:p>
        </w:tc>
      </w:tr>
      <w:tr>
        <w:trPr>
          <w:cantSplit/>
        </w:trPr>
        <w:tc>
          <w:tcPr>
            <w:tcW w:type="dxa" w:w="4997"/>
            <w:tcMar>
              <w:top w:w="90" w:type="dxa"/>
              <w:start w:w="110" w:type="dxa"/>
              <w:bottom w:w="90" w:type="dxa"/>
              <w:end w:w="110" w:type="dxa"/>
            </w:tcMar>
          </w:tcPr>
          <w:p>
            <w:r>
              <w:rPr>
                <w:rFonts w:ascii="Aptos" w:hAnsi="Aptos"/>
                <w:sz w:val="16"/>
              </w:rPr>
              <w:t>Unlock Matches</w:t>
            </w:r>
          </w:p>
        </w:tc>
        <w:tc>
          <w:tcPr>
            <w:tcW w:type="dxa" w:w="4997"/>
            <w:tcMar>
              <w:top w:w="90" w:type="dxa"/>
              <w:start w:w="110" w:type="dxa"/>
              <w:bottom w:w="90" w:type="dxa"/>
              <w:end w:w="110" w:type="dxa"/>
            </w:tcMar>
          </w:tcPr>
          <w:p>
            <w:r>
              <w:rPr>
                <w:rFonts w:ascii="Aptos" w:hAnsi="Aptos"/>
                <w:sz w:val="16"/>
              </w:rPr>
              <w:t>See My Best Matches</w:t>
            </w:r>
          </w:p>
        </w:tc>
      </w:tr>
      <w:tr>
        <w:trPr>
          <w:cantSplit/>
        </w:trPr>
        <w:tc>
          <w:tcPr>
            <w:tcW w:type="dxa" w:w="4997"/>
            <w:tcMar>
              <w:top w:w="90" w:type="dxa"/>
              <w:start w:w="110" w:type="dxa"/>
              <w:bottom w:w="90" w:type="dxa"/>
              <w:end w:w="110" w:type="dxa"/>
            </w:tcMar>
          </w:tcPr>
          <w:p>
            <w:r>
              <w:rPr>
                <w:rFonts w:ascii="Aptos" w:hAnsi="Aptos"/>
                <w:sz w:val="16"/>
              </w:rPr>
              <w:t>Start New Search</w:t>
            </w:r>
          </w:p>
        </w:tc>
        <w:tc>
          <w:tcPr>
            <w:tcW w:type="dxa" w:w="4997"/>
            <w:tcMar>
              <w:top w:w="90" w:type="dxa"/>
              <w:start w:w="110" w:type="dxa"/>
              <w:bottom w:w="90" w:type="dxa"/>
              <w:end w:w="110" w:type="dxa"/>
            </w:tcMar>
          </w:tcPr>
          <w:p>
            <w:r>
              <w:rPr>
                <w:rFonts w:ascii="Aptos" w:hAnsi="Aptos"/>
                <w:sz w:val="16"/>
              </w:rPr>
              <w:t>Start New Assessment</w:t>
            </w:r>
          </w:p>
        </w:tc>
      </w:tr>
      <w:tr>
        <w:trPr>
          <w:cantSplit/>
        </w:trPr>
        <w:tc>
          <w:tcPr>
            <w:tcW w:type="dxa" w:w="4997"/>
            <w:tcMar>
              <w:top w:w="90" w:type="dxa"/>
              <w:start w:w="110" w:type="dxa"/>
              <w:bottom w:w="90" w:type="dxa"/>
              <w:end w:w="110" w:type="dxa"/>
            </w:tcMar>
          </w:tcPr>
          <w:p>
            <w:r>
              <w:rPr>
                <w:rFonts w:ascii="Aptos" w:hAnsi="Aptos"/>
                <w:sz w:val="16"/>
              </w:rPr>
              <w:t>Saved Sessions</w:t>
            </w:r>
          </w:p>
        </w:tc>
        <w:tc>
          <w:tcPr>
            <w:tcW w:type="dxa" w:w="4997"/>
            <w:tcMar>
              <w:top w:w="90" w:type="dxa"/>
              <w:start w:w="110" w:type="dxa"/>
              <w:bottom w:w="90" w:type="dxa"/>
              <w:end w:w="110" w:type="dxa"/>
            </w:tcMar>
          </w:tcPr>
          <w:p>
            <w:r>
              <w:rPr>
                <w:rFonts w:ascii="Aptos" w:hAnsi="Aptos"/>
                <w:sz w:val="16"/>
              </w:rPr>
              <w:t>Saved Risk Maps</w:t>
            </w:r>
          </w:p>
        </w:tc>
      </w:tr>
    </w:tbl>
    <w:p>
      <w:r>
        <w:br w:type="page"/>
      </w:r>
    </w:p>
    <w:p>
      <w:pPr>
        <w:pStyle w:val="Heading1"/>
      </w:pPr>
      <w:r>
        <w:t>1. Hero</w:t>
      </w:r>
    </w:p>
    <w:tbl>
      <w:tblPr>
        <w:tblW w:type="auto" w:w="0"/>
        <w:jc w:val="center"/>
        <w:tblLayout w:type="fixed"/>
        <w:tblLook w:firstColumn="1" w:firstRow="1" w:lastColumn="0" w:lastRow="0" w:noHBand="0" w:noVBand="1" w:val="04A0"/>
      </w:tblPr>
      <w:tblGrid>
        <w:gridCol w:w="9792"/>
      </w:tblGrid>
      <w:tr>
        <w:trPr>
          <w:cantSplit/>
        </w:trPr>
        <w:tc>
          <w:tcPr>
            <w:tcW w:type="dxa" w:w="9994"/>
            <w:shd w:fill="F2F4F5"/>
            <w:tcMar>
              <w:top w:w="90" w:type="dxa"/>
              <w:start w:w="110" w:type="dxa"/>
              <w:bottom w:w="90" w:type="dxa"/>
              <w:end w:w="110" w:type="dxa"/>
            </w:tcMar>
            <w:vAlign w:val="center"/>
          </w:tcPr>
          <w:p>
            <w:pPr>
              <w:pStyle w:val="CurrentBox"/>
            </w:pPr>
            <w:r>
              <w:rPr>
                <w:rFonts w:ascii="Aptos" w:hAnsi="Aptos"/>
                <w:b/>
                <w:color w:val="14A6A1"/>
                <w:sz w:val="16"/>
              </w:rPr>
              <w:t>CURRENT WEBSITE WORDING</w:t>
            </w:r>
          </w:p>
          <w:p>
            <w:pPr>
              <w:pStyle w:val="CurrentBox"/>
              <w:spacing w:after="40"/>
            </w:pPr>
            <w:r>
              <w:rPr>
                <w:rFonts w:ascii="Aptos" w:hAnsi="Aptos"/>
                <w:sz w:val="16"/>
              </w:rPr>
              <w:t>Global Compliance.</w:t>
            </w:r>
          </w:p>
          <w:p>
            <w:pPr>
              <w:pStyle w:val="CurrentBox"/>
              <w:spacing w:after="40"/>
            </w:pPr>
            <w:r>
              <w:rPr>
                <w:rFonts w:ascii="Aptos" w:hAnsi="Aptos"/>
                <w:sz w:val="16"/>
              </w:rPr>
              <w:t>Understand your obligations. Find the right specialists. Stay compliant — everywhere you sell.</w:t>
            </w:r>
          </w:p>
          <w:p>
            <w:pPr>
              <w:pStyle w:val="CurrentBox"/>
              <w:spacing w:after="40"/>
            </w:pPr>
            <w:r>
              <w:rPr>
                <w:rFonts w:ascii="Aptos" w:hAnsi="Aptos"/>
                <w:sz w:val="16"/>
              </w:rPr>
              <w:t>Primary CTA: Start the Risk Map</w:t>
            </w:r>
          </w:p>
          <w:p>
            <w:pPr>
              <w:pStyle w:val="CurrentBox"/>
              <w:spacing w:after="40"/>
            </w:pPr>
            <w:r>
              <w:rPr>
                <w:rFonts w:ascii="Aptos" w:hAnsi="Aptos"/>
                <w:sz w:val="16"/>
              </w:rPr>
              <w:t>Question field: Describe what you need | Send</w:t>
            </w:r>
          </w:p>
        </w:tc>
      </w:tr>
    </w:tbl>
    <w:p>
      <w:pPr>
        <w:spacing w:after="0"/>
      </w:pPr>
    </w:p>
    <w:tbl>
      <w:tblPr>
        <w:tblW w:type="auto" w:w="0"/>
        <w:jc w:val="center"/>
        <w:tblLayout w:type="fixed"/>
        <w:tblLook w:firstColumn="1" w:firstRow="1" w:lastColumn="0" w:lastRow="0" w:noHBand="0" w:noVBand="1" w:val="04A0"/>
      </w:tblPr>
      <w:tblGrid>
        <w:gridCol w:w="9792"/>
      </w:tblGrid>
      <w:tr>
        <w:trPr>
          <w:cantSplit/>
        </w:trPr>
        <w:tc>
          <w:tcPr>
            <w:tcW w:type="dxa" w:w="9994"/>
            <w:shd w:fill="E8F7F6"/>
            <w:tcMar>
              <w:top w:w="90" w:type="dxa"/>
              <w:start w:w="110" w:type="dxa"/>
              <w:bottom w:w="90" w:type="dxa"/>
              <w:end w:w="110" w:type="dxa"/>
            </w:tcMar>
            <w:vAlign w:val="center"/>
          </w:tcPr>
          <w:p>
            <w:pPr>
              <w:pStyle w:val="ApprovedBox"/>
            </w:pPr>
            <w:r>
              <w:rPr>
                <w:rFonts w:ascii="Aptos" w:hAnsi="Aptos"/>
                <w:b/>
                <w:color w:val="14A6A1"/>
                <w:sz w:val="16"/>
              </w:rPr>
              <w:t>APPROVED REPLACEMENT</w:t>
            </w:r>
          </w:p>
          <w:p>
            <w:pPr>
              <w:pStyle w:val="ApprovedBox"/>
              <w:spacing w:after="40"/>
            </w:pPr>
            <w:r>
              <w:rPr>
                <w:rFonts w:ascii="Aptos" w:hAnsi="Aptos"/>
                <w:sz w:val="16"/>
              </w:rPr>
              <w:t>HEADLINE</w:t>
            </w:r>
          </w:p>
          <w:p>
            <w:pPr>
              <w:pStyle w:val="ApprovedBox"/>
              <w:spacing w:after="40"/>
            </w:pPr>
            <w:r>
              <w:rPr>
                <w:rFonts w:ascii="Aptos" w:hAnsi="Aptos"/>
                <w:sz w:val="16"/>
              </w:rPr>
              <w:t>Understand what applies to your business. Know what to do next.</w:t>
            </w:r>
          </w:p>
          <w:p>
            <w:pPr>
              <w:pStyle w:val="ApprovedBox"/>
              <w:spacing w:after="40"/>
            </w:pPr>
            <w:r>
              <w:rPr>
                <w:rFonts w:ascii="Aptos" w:hAnsi="Aptos"/>
                <w:sz w:val="16"/>
              </w:rPr>
            </w:r>
          </w:p>
          <w:p>
            <w:pPr>
              <w:pStyle w:val="ApprovedBox"/>
              <w:spacing w:after="40"/>
            </w:pPr>
            <w:r>
              <w:rPr>
                <w:rFonts w:ascii="Aptos" w:hAnsi="Aptos"/>
                <w:sz w:val="16"/>
              </w:rPr>
              <w:t>LEAD</w:t>
            </w:r>
          </w:p>
          <w:p>
            <w:pPr>
              <w:pStyle w:val="ApprovedBox"/>
              <w:spacing w:after="40"/>
            </w:pPr>
            <w:r>
              <w:rPr>
                <w:rFonts w:ascii="Aptos" w:hAnsi="Aptos"/>
                <w:sz w:val="16"/>
              </w:rPr>
              <w:t>Tell us where and how you operate. We help you understand what applies, decide what to do next, and find verified professionals who fit your needs.</w:t>
            </w:r>
          </w:p>
          <w:p>
            <w:pPr>
              <w:pStyle w:val="ApprovedBox"/>
              <w:spacing w:after="40"/>
            </w:pPr>
            <w:r>
              <w:rPr>
                <w:rFonts w:ascii="Aptos" w:hAnsi="Aptos"/>
                <w:sz w:val="16"/>
              </w:rPr>
            </w:r>
          </w:p>
          <w:p>
            <w:pPr>
              <w:pStyle w:val="ApprovedBox"/>
              <w:spacing w:after="40"/>
            </w:pPr>
            <w:r>
              <w:rPr>
                <w:rFonts w:ascii="Aptos" w:hAnsi="Aptos"/>
                <w:sz w:val="16"/>
              </w:rPr>
              <w:t>PRIMARY CTA</w:t>
            </w:r>
          </w:p>
          <w:p>
            <w:pPr>
              <w:pStyle w:val="ApprovedBox"/>
              <w:spacing w:after="40"/>
            </w:pPr>
            <w:r>
              <w:rPr>
                <w:rFonts w:ascii="Aptos" w:hAnsi="Aptos"/>
                <w:sz w:val="16"/>
              </w:rPr>
              <w:t>Assess My Needs</w:t>
            </w:r>
          </w:p>
          <w:p>
            <w:pPr>
              <w:pStyle w:val="ApprovedBox"/>
              <w:spacing w:after="40"/>
            </w:pPr>
            <w:r>
              <w:rPr>
                <w:rFonts w:ascii="Aptos" w:hAnsi="Aptos"/>
                <w:sz w:val="16"/>
              </w:rPr>
            </w:r>
          </w:p>
          <w:p>
            <w:pPr>
              <w:pStyle w:val="ApprovedBox"/>
              <w:spacing w:after="40"/>
            </w:pPr>
            <w:r>
              <w:rPr>
                <w:rFonts w:ascii="Aptos" w:hAnsi="Aptos"/>
                <w:sz w:val="16"/>
              </w:rPr>
              <w:t>SECOND PATH</w:t>
            </w:r>
          </w:p>
          <w:p>
            <w:pPr>
              <w:pStyle w:val="ApprovedBox"/>
              <w:spacing w:after="40"/>
            </w:pPr>
            <w:r>
              <w:rPr>
                <w:rFonts w:ascii="Aptos" w:hAnsi="Aptos"/>
                <w:sz w:val="16"/>
              </w:rPr>
              <w:t>Or ask a question in your own words.</w:t>
            </w:r>
          </w:p>
          <w:p>
            <w:pPr>
              <w:pStyle w:val="ApprovedBox"/>
              <w:spacing w:after="40"/>
            </w:pPr>
            <w:r>
              <w:rPr>
                <w:rFonts w:ascii="Aptos" w:hAnsi="Aptos"/>
                <w:sz w:val="16"/>
              </w:rPr>
              <w:t>Placeholder: What do you need help with?</w:t>
            </w:r>
          </w:p>
          <w:p>
            <w:pPr>
              <w:pStyle w:val="ApprovedBox"/>
              <w:spacing w:after="40"/>
            </w:pPr>
            <w:r>
              <w:rPr>
                <w:rFonts w:ascii="Aptos" w:hAnsi="Aptos"/>
                <w:sz w:val="16"/>
              </w:rPr>
              <w:t>Button: Ask CompliHub360</w:t>
            </w:r>
          </w:p>
        </w:tc>
      </w:tr>
    </w:tbl>
    <w:p>
      <w:pPr>
        <w:spacing w:after="0"/>
      </w:pPr>
    </w:p>
    <w:p>
      <w:pPr>
        <w:pStyle w:val="Heading2"/>
      </w:pPr>
      <w:r>
        <w:t>Promise band</w:t>
      </w:r>
    </w:p>
    <w:p>
      <w:pPr>
        <w:pStyle w:val="ListBullet"/>
      </w:pPr>
      <w:r>
        <w:t>Understand what applies — See which requirements may affect your business.</w:t>
      </w:r>
    </w:p>
    <w:p>
      <w:pPr>
        <w:pStyle w:val="ListBullet"/>
      </w:pPr>
      <w:r>
        <w:t>Find the right professionals — Get matched with verified providers who fit your needs.</w:t>
      </w:r>
    </w:p>
    <w:p>
      <w:pPr>
        <w:pStyle w:val="ListBullet"/>
      </w:pPr>
      <w:r>
        <w:t>Move forward with confidence — Connect with the right provider and manage the work in one place.</w:t>
      </w:r>
    </w:p>
    <w:p>
      <w:pPr>
        <w:pStyle w:val="ListBullet"/>
      </w:pPr>
      <w:r>
        <w:t>Always on your side — Smart technology for speed and real people when you need them.</w:t>
      </w:r>
    </w:p>
    <w:p>
      <w:pPr>
        <w:pStyle w:val="Heading2"/>
      </w:pPr>
      <w:r>
        <w:t>Proof strip</w:t>
      </w:r>
    </w:p>
    <w:p>
      <w:pPr>
        <w:pStyle w:val="ListBullet"/>
      </w:pPr>
      <w:r>
        <w:t>360° coverage — Across countries, compliance areas, and business services.</w:t>
      </w:r>
    </w:p>
    <w:p>
      <w:pPr>
        <w:pStyle w:val="ListBullet"/>
      </w:pPr>
      <w:r>
        <w:t>Verified provider network — Professionals reviewed for expertise, service quality, and reliability.</w:t>
      </w:r>
    </w:p>
    <w:p>
      <w:pPr>
        <w:pStyle w:val="ListBullet"/>
      </w:pPr>
      <w:r>
        <w:t>Technology and human expertise — Smart guidance supported by experienced professionals.</w:t>
      </w:r>
    </w:p>
    <w:p>
      <w:pPr>
        <w:pStyle w:val="ListBullet"/>
      </w:pPr>
      <w:r>
        <w:t>Human support — Real people when needed.</w:t>
      </w:r>
    </w:p>
    <w:p>
      <w:pPr>
        <w:pStyle w:val="ListBullet"/>
      </w:pPr>
      <w:r>
        <w:t>Your data, protected — Strong security and privacy built in.</w:t>
      </w:r>
    </w:p>
    <w:tbl>
      <w:tblPr>
        <w:tblW w:type="auto" w:w="0"/>
        <w:jc w:val="center"/>
        <w:tblLayout w:type="fixed"/>
        <w:tblLook w:firstColumn="1" w:firstRow="1" w:lastColumn="0" w:lastRow="0" w:noHBand="0" w:noVBand="1" w:val="04A0"/>
      </w:tblPr>
      <w:tblGrid>
        <w:gridCol w:w="9792"/>
      </w:tblGrid>
      <w:tr>
        <w:trPr>
          <w:cantSplit/>
        </w:trPr>
        <w:tc>
          <w:tcPr>
            <w:tcW w:type="dxa" w:w="9994"/>
            <w:shd w:fill="EEF4F7"/>
            <w:tcMar>
              <w:top w:w="90" w:type="dxa"/>
              <w:start w:w="110" w:type="dxa"/>
              <w:bottom w:w="90" w:type="dxa"/>
              <w:end w:w="110" w:type="dxa"/>
            </w:tcMar>
            <w:vAlign w:val="center"/>
          </w:tcPr>
          <w:p>
            <w:pPr>
              <w:pStyle w:val="DevNote"/>
            </w:pPr>
            <w:r>
              <w:rPr>
                <w:rFonts w:ascii="Aptos" w:hAnsi="Aptos"/>
                <w:b/>
                <w:color w:val="14A6A1"/>
                <w:sz w:val="16"/>
              </w:rPr>
              <w:t>CONFIRM BEFORE LAUNCH</w:t>
            </w:r>
          </w:p>
          <w:p>
            <w:pPr>
              <w:pStyle w:val="DevNote"/>
              <w:spacing w:after="40"/>
            </w:pPr>
            <w:r>
              <w:rPr>
                <w:rFonts w:ascii="Aptos" w:hAnsi="Aptos"/>
                <w:sz w:val="16"/>
              </w:rPr>
              <w:t>Use “Your data, protected” only with security/privacy controls actually implemented. Avoid naming certifications or encryption standards until verified.</w:t>
            </w:r>
          </w:p>
        </w:tc>
      </w:tr>
    </w:tbl>
    <w:p>
      <w:pPr>
        <w:spacing w:after="0"/>
      </w:pPr>
    </w:p>
    <w:p>
      <w:pPr>
        <w:pStyle w:val="Heading1"/>
      </w:pPr>
      <w:r>
        <w:t>2. Problem Recognition</w:t>
      </w:r>
    </w:p>
    <w:tbl>
      <w:tblPr>
        <w:tblW w:type="auto" w:w="0"/>
        <w:jc w:val="center"/>
        <w:tblLayout w:type="fixed"/>
        <w:tblLook w:firstColumn="1" w:firstRow="1" w:lastColumn="0" w:lastRow="0" w:noHBand="0" w:noVBand="1" w:val="04A0"/>
      </w:tblPr>
      <w:tblGrid>
        <w:gridCol w:w="9792"/>
      </w:tblGrid>
      <w:tr>
        <w:trPr>
          <w:cantSplit/>
        </w:trPr>
        <w:tc>
          <w:tcPr>
            <w:tcW w:type="dxa" w:w="9994"/>
            <w:shd w:fill="F2F4F5"/>
            <w:tcMar>
              <w:top w:w="90" w:type="dxa"/>
              <w:start w:w="110" w:type="dxa"/>
              <w:bottom w:w="90" w:type="dxa"/>
              <w:end w:w="110" w:type="dxa"/>
            </w:tcMar>
            <w:vAlign w:val="center"/>
          </w:tcPr>
          <w:p>
            <w:pPr>
              <w:pStyle w:val="CurrentBox"/>
            </w:pPr>
            <w:r>
              <w:rPr>
                <w:rFonts w:ascii="Aptos" w:hAnsi="Aptos"/>
                <w:b/>
                <w:color w:val="14A6A1"/>
                <w:sz w:val="16"/>
              </w:rPr>
              <w:t>CURRENT WEBSITE WORDING</w:t>
            </w:r>
          </w:p>
          <w:p>
            <w:pPr>
              <w:pStyle w:val="CurrentBox"/>
              <w:spacing w:after="40"/>
            </w:pPr>
            <w:r>
              <w:rPr>
                <w:rFonts w:ascii="Aptos" w:hAnsi="Aptos"/>
                <w:sz w:val="16"/>
              </w:rPr>
              <w:t>The existing section focuses on confusion, conflicting answers, time spent searching, overselling, and difficulty comparing providers, including “Sold more than you need.”</w:t>
            </w:r>
          </w:p>
        </w:tc>
      </w:tr>
    </w:tbl>
    <w:p>
      <w:pPr>
        <w:spacing w:after="0"/>
      </w:pPr>
    </w:p>
    <w:tbl>
      <w:tblPr>
        <w:tblW w:type="auto" w:w="0"/>
        <w:jc w:val="center"/>
        <w:tblLayout w:type="fixed"/>
        <w:tblLook w:firstColumn="1" w:firstRow="1" w:lastColumn="0" w:lastRow="0" w:noHBand="0" w:noVBand="1" w:val="04A0"/>
      </w:tblPr>
      <w:tblGrid>
        <w:gridCol w:w="9792"/>
      </w:tblGrid>
      <w:tr>
        <w:trPr>
          <w:cantSplit/>
        </w:trPr>
        <w:tc>
          <w:tcPr>
            <w:tcW w:type="dxa" w:w="9994"/>
            <w:shd w:fill="E8F7F6"/>
            <w:tcMar>
              <w:top w:w="90" w:type="dxa"/>
              <w:start w:w="110" w:type="dxa"/>
              <w:bottom w:w="90" w:type="dxa"/>
              <w:end w:w="110" w:type="dxa"/>
            </w:tcMar>
            <w:vAlign w:val="center"/>
          </w:tcPr>
          <w:p>
            <w:pPr>
              <w:pStyle w:val="ApprovedBox"/>
            </w:pPr>
            <w:r>
              <w:rPr>
                <w:rFonts w:ascii="Aptos" w:hAnsi="Aptos"/>
                <w:b/>
                <w:color w:val="14A6A1"/>
                <w:sz w:val="16"/>
              </w:rPr>
              <w:t>APPROVED REPLACEMENT</w:t>
            </w:r>
          </w:p>
          <w:p>
            <w:pPr>
              <w:pStyle w:val="ApprovedBox"/>
              <w:spacing w:after="40"/>
            </w:pPr>
            <w:r>
              <w:rPr>
                <w:rFonts w:ascii="Aptos" w:hAnsi="Aptos"/>
                <w:sz w:val="16"/>
              </w:rPr>
              <w:t>EYEBROW</w:t>
            </w:r>
          </w:p>
          <w:p>
            <w:pPr>
              <w:pStyle w:val="ApprovedBox"/>
              <w:spacing w:after="40"/>
            </w:pPr>
            <w:r>
              <w:rPr>
                <w:rFonts w:ascii="Aptos" w:hAnsi="Aptos"/>
                <w:sz w:val="16"/>
              </w:rPr>
              <w:t>Why compliance feels complicated</w:t>
            </w:r>
          </w:p>
          <w:p>
            <w:pPr>
              <w:pStyle w:val="ApprovedBox"/>
              <w:spacing w:after="40"/>
            </w:pPr>
            <w:r>
              <w:rPr>
                <w:rFonts w:ascii="Aptos" w:hAnsi="Aptos"/>
                <w:sz w:val="16"/>
              </w:rPr>
            </w:r>
          </w:p>
          <w:p>
            <w:pPr>
              <w:pStyle w:val="ApprovedBox"/>
              <w:spacing w:after="40"/>
            </w:pPr>
            <w:r>
              <w:rPr>
                <w:rFonts w:ascii="Aptos" w:hAnsi="Aptos"/>
                <w:sz w:val="16"/>
              </w:rPr>
              <w:t>HEADLINE</w:t>
            </w:r>
          </w:p>
          <w:p>
            <w:pPr>
              <w:pStyle w:val="ApprovedBox"/>
              <w:spacing w:after="40"/>
            </w:pPr>
            <w:r>
              <w:rPr>
                <w:rFonts w:ascii="Aptos" w:hAnsi="Aptos"/>
                <w:sz w:val="16"/>
              </w:rPr>
              <w:t>Compliance is complex. Finding the right answer shouldn’t be.</w:t>
            </w:r>
          </w:p>
          <w:p>
            <w:pPr>
              <w:pStyle w:val="ApprovedBox"/>
              <w:spacing w:after="40"/>
            </w:pPr>
            <w:r>
              <w:rPr>
                <w:rFonts w:ascii="Aptos" w:hAnsi="Aptos"/>
                <w:sz w:val="16"/>
              </w:rPr>
            </w:r>
          </w:p>
          <w:p>
            <w:pPr>
              <w:pStyle w:val="ApprovedBox"/>
              <w:spacing w:after="40"/>
            </w:pPr>
            <w:r>
              <w:rPr>
                <w:rFonts w:ascii="Aptos" w:hAnsi="Aptos"/>
                <w:sz w:val="16"/>
              </w:rPr>
              <w:t>LEAD</w:t>
            </w:r>
          </w:p>
          <w:p>
            <w:pPr>
              <w:pStyle w:val="ApprovedBox"/>
              <w:spacing w:after="40"/>
            </w:pPr>
            <w:r>
              <w:rPr>
                <w:rFonts w:ascii="Aptos" w:hAnsi="Aptos"/>
                <w:sz w:val="16"/>
              </w:rPr>
              <w:t>You may have searched online, spoken to different providers, and received different answers. The real challenge is knowing what applies to your business and what to do next.</w:t>
            </w:r>
          </w:p>
          <w:p>
            <w:pPr>
              <w:pStyle w:val="ApprovedBox"/>
              <w:spacing w:after="40"/>
            </w:pPr>
            <w:r>
              <w:rPr>
                <w:rFonts w:ascii="Aptos" w:hAnsi="Aptos"/>
                <w:sz w:val="16"/>
              </w:rPr>
            </w:r>
          </w:p>
          <w:p>
            <w:pPr>
              <w:pStyle w:val="ApprovedBox"/>
              <w:spacing w:after="40"/>
            </w:pPr>
            <w:r>
              <w:rPr>
                <w:rFonts w:ascii="Aptos" w:hAnsi="Aptos"/>
                <w:sz w:val="16"/>
              </w:rPr>
              <w:t>PAIN POINTS</w:t>
            </w:r>
          </w:p>
          <w:p>
            <w:pPr>
              <w:spacing w:after="40"/>
              <w:ind w:left="173"/>
            </w:pPr>
            <w:r>
              <w:rPr>
                <w:rFonts w:ascii="Aptos" w:hAnsi="Aptos"/>
                <w:b/>
                <w:sz w:val="16"/>
              </w:rPr>
              <w:t xml:space="preserve">• </w:t>
            </w:r>
            <w:r>
              <w:rPr>
                <w:rFonts w:ascii="Aptos" w:hAnsi="Aptos"/>
                <w:sz w:val="16"/>
              </w:rPr>
              <w:t>Different answers can all sound right.</w:t>
            </w:r>
          </w:p>
          <w:p>
            <w:pPr>
              <w:spacing w:after="40"/>
              <w:ind w:left="173"/>
            </w:pPr>
            <w:r>
              <w:rPr>
                <w:rFonts w:ascii="Aptos" w:hAnsi="Aptos"/>
                <w:b/>
                <w:sz w:val="16"/>
              </w:rPr>
              <w:t xml:space="preserve">• </w:t>
            </w:r>
            <w:r>
              <w:rPr>
                <w:rFonts w:ascii="Aptos" w:hAnsi="Aptos"/>
                <w:sz w:val="16"/>
              </w:rPr>
              <w:t>It can be difficult to know what you really need.</w:t>
            </w:r>
          </w:p>
          <w:p>
            <w:pPr>
              <w:spacing w:after="40"/>
              <w:ind w:left="173"/>
            </w:pPr>
            <w:r>
              <w:rPr>
                <w:rFonts w:ascii="Aptos" w:hAnsi="Aptos"/>
                <w:b/>
                <w:sz w:val="16"/>
              </w:rPr>
              <w:t xml:space="preserve">• </w:t>
            </w:r>
            <w:r>
              <w:rPr>
                <w:rFonts w:ascii="Aptos" w:hAnsi="Aptos"/>
                <w:sz w:val="16"/>
              </w:rPr>
              <w:t>Finding the right help takes time.</w:t>
            </w:r>
          </w:p>
          <w:p>
            <w:pPr>
              <w:spacing w:after="40"/>
              <w:ind w:left="173"/>
            </w:pPr>
            <w:r>
              <w:rPr>
                <w:rFonts w:ascii="Aptos" w:hAnsi="Aptos"/>
                <w:b/>
                <w:sz w:val="16"/>
              </w:rPr>
              <w:t xml:space="preserve">• </w:t>
            </w:r>
            <w:r>
              <w:rPr>
                <w:rFonts w:ascii="Aptos" w:hAnsi="Aptos"/>
                <w:sz w:val="16"/>
              </w:rPr>
              <w:t>Providers can be difficult to compare.</w:t>
            </w:r>
          </w:p>
          <w:p>
            <w:pPr>
              <w:pStyle w:val="ApprovedBox"/>
              <w:spacing w:after="40"/>
            </w:pPr>
            <w:r>
              <w:rPr>
                <w:rFonts w:ascii="Aptos" w:hAnsi="Aptos"/>
                <w:sz w:val="16"/>
              </w:rPr>
            </w:r>
          </w:p>
          <w:p>
            <w:pPr>
              <w:pStyle w:val="ApprovedBox"/>
              <w:spacing w:after="40"/>
            </w:pPr>
            <w:r>
              <w:rPr>
                <w:rFonts w:ascii="Aptos" w:hAnsi="Aptos"/>
                <w:sz w:val="16"/>
              </w:rPr>
              <w:t>CLOSING</w:t>
            </w:r>
          </w:p>
          <w:p>
            <w:pPr>
              <w:pStyle w:val="ApprovedBox"/>
              <w:spacing w:after="40"/>
            </w:pPr>
            <w:r>
              <w:rPr>
                <w:rFonts w:ascii="Aptos" w:hAnsi="Aptos"/>
                <w:sz w:val="16"/>
              </w:rPr>
              <w:t>The problem is not that you have not tried. You simply need one clear view of what applies, what matters first, and where to find the right support.</w:t>
            </w:r>
          </w:p>
        </w:tc>
      </w:tr>
    </w:tbl>
    <w:p>
      <w:pPr>
        <w:spacing w:after="0"/>
      </w:pPr>
    </w:p>
    <w:p>
      <w:pPr>
        <w:pStyle w:val="Heading1"/>
      </w:pPr>
      <w:r>
        <w:t>3. Assessment Entry</w:t>
      </w:r>
    </w:p>
    <w:tbl>
      <w:tblPr>
        <w:tblW w:type="auto" w:w="0"/>
        <w:jc w:val="center"/>
        <w:tblLayout w:type="fixed"/>
        <w:tblLook w:firstColumn="1" w:firstRow="1" w:lastColumn="0" w:lastRow="0" w:noHBand="0" w:noVBand="1" w:val="04A0"/>
      </w:tblPr>
      <w:tblGrid>
        <w:gridCol w:w="9792"/>
      </w:tblGrid>
      <w:tr>
        <w:trPr>
          <w:cantSplit/>
        </w:trPr>
        <w:tc>
          <w:tcPr>
            <w:tcW w:type="dxa" w:w="9994"/>
            <w:shd w:fill="F2F4F5"/>
            <w:tcMar>
              <w:top w:w="90" w:type="dxa"/>
              <w:start w:w="110" w:type="dxa"/>
              <w:bottom w:w="90" w:type="dxa"/>
              <w:end w:w="110" w:type="dxa"/>
            </w:tcMar>
            <w:vAlign w:val="center"/>
          </w:tcPr>
          <w:p>
            <w:pPr>
              <w:pStyle w:val="CurrentBox"/>
            </w:pPr>
            <w:r>
              <w:rPr>
                <w:rFonts w:ascii="Aptos" w:hAnsi="Aptos"/>
                <w:b/>
                <w:color w:val="14A6A1"/>
                <w:sz w:val="16"/>
              </w:rPr>
              <w:t>CURRENT WEBSITE WORDING</w:t>
            </w:r>
          </w:p>
          <w:p>
            <w:pPr>
              <w:pStyle w:val="CurrentBox"/>
              <w:spacing w:after="40"/>
            </w:pPr>
            <w:r>
              <w:rPr>
                <w:rFonts w:ascii="Aptos" w:hAnsi="Aptos"/>
                <w:sz w:val="16"/>
              </w:rPr>
              <w:t>Six minutes. No account required. We map your operations against the regulations that actually apply, and show you what to do next.</w:t>
            </w:r>
          </w:p>
          <w:p>
            <w:pPr>
              <w:pStyle w:val="CurrentBox"/>
              <w:spacing w:after="40"/>
            </w:pPr>
            <w:r>
              <w:rPr>
                <w:rFonts w:ascii="Aptos" w:hAnsi="Aptos"/>
                <w:sz w:val="16"/>
              </w:rPr>
              <w:t>Navigation and buttons include “Next,” “Skip &amp; route,” and “Generate my risk map.”</w:t>
            </w:r>
          </w:p>
          <w:p>
            <w:pPr>
              <w:pStyle w:val="CurrentBox"/>
              <w:spacing w:after="40"/>
            </w:pPr>
            <w:r>
              <w:rPr>
                <w:rFonts w:ascii="Aptos" w:hAnsi="Aptos"/>
                <w:sz w:val="16"/>
              </w:rPr>
              <w:t>Categories include Corporate &amp; Structure and Legal Advisory.</w:t>
            </w:r>
          </w:p>
        </w:tc>
      </w:tr>
    </w:tbl>
    <w:p>
      <w:pPr>
        <w:spacing w:after="0"/>
      </w:pPr>
    </w:p>
    <w:tbl>
      <w:tblPr>
        <w:tblW w:type="auto" w:w="0"/>
        <w:jc w:val="center"/>
        <w:tblLayout w:type="fixed"/>
        <w:tblLook w:firstColumn="1" w:firstRow="1" w:lastColumn="0" w:lastRow="0" w:noHBand="0" w:noVBand="1" w:val="04A0"/>
      </w:tblPr>
      <w:tblGrid>
        <w:gridCol w:w="9792"/>
      </w:tblGrid>
      <w:tr>
        <w:trPr>
          <w:cantSplit/>
        </w:trPr>
        <w:tc>
          <w:tcPr>
            <w:tcW w:type="dxa" w:w="9994"/>
            <w:shd w:fill="E8F7F6"/>
            <w:tcMar>
              <w:top w:w="90" w:type="dxa"/>
              <w:start w:w="110" w:type="dxa"/>
              <w:bottom w:w="90" w:type="dxa"/>
              <w:end w:w="110" w:type="dxa"/>
            </w:tcMar>
            <w:vAlign w:val="center"/>
          </w:tcPr>
          <w:p>
            <w:pPr>
              <w:pStyle w:val="ApprovedBox"/>
            </w:pPr>
            <w:r>
              <w:rPr>
                <w:rFonts w:ascii="Aptos" w:hAnsi="Aptos"/>
                <w:b/>
                <w:color w:val="14A6A1"/>
                <w:sz w:val="16"/>
              </w:rPr>
              <w:t>APPROVED REPLACEMENT</w:t>
            </w:r>
          </w:p>
          <w:p>
            <w:pPr>
              <w:pStyle w:val="ApprovedBox"/>
              <w:spacing w:after="40"/>
            </w:pPr>
            <w:r>
              <w:rPr>
                <w:rFonts w:ascii="Aptos" w:hAnsi="Aptos"/>
                <w:sz w:val="16"/>
              </w:rPr>
              <w:t>EYEBROW</w:t>
            </w:r>
          </w:p>
          <w:p>
            <w:pPr>
              <w:pStyle w:val="ApprovedBox"/>
              <w:spacing w:after="40"/>
            </w:pPr>
            <w:r>
              <w:rPr>
                <w:rFonts w:ascii="Aptos" w:hAnsi="Aptos"/>
                <w:sz w:val="16"/>
              </w:rPr>
              <w:t>Start with a free assessment</w:t>
            </w:r>
          </w:p>
          <w:p>
            <w:pPr>
              <w:pStyle w:val="ApprovedBox"/>
              <w:spacing w:after="40"/>
            </w:pPr>
            <w:r>
              <w:rPr>
                <w:rFonts w:ascii="Aptos" w:hAnsi="Aptos"/>
                <w:sz w:val="16"/>
              </w:rPr>
            </w:r>
          </w:p>
          <w:p>
            <w:pPr>
              <w:pStyle w:val="ApprovedBox"/>
              <w:spacing w:after="40"/>
            </w:pPr>
            <w:r>
              <w:rPr>
                <w:rFonts w:ascii="Aptos" w:hAnsi="Aptos"/>
                <w:sz w:val="16"/>
              </w:rPr>
              <w:t>HEADLINE</w:t>
            </w:r>
          </w:p>
          <w:p>
            <w:pPr>
              <w:pStyle w:val="ApprovedBox"/>
              <w:spacing w:after="40"/>
            </w:pPr>
            <w:r>
              <w:rPr>
                <w:rFonts w:ascii="Aptos" w:hAnsi="Aptos"/>
                <w:sz w:val="16"/>
              </w:rPr>
              <w:t>Tell us about your business. See what applies to you.</w:t>
            </w:r>
          </w:p>
          <w:p>
            <w:pPr>
              <w:pStyle w:val="ApprovedBox"/>
              <w:spacing w:after="40"/>
            </w:pPr>
            <w:r>
              <w:rPr>
                <w:rFonts w:ascii="Aptos" w:hAnsi="Aptos"/>
                <w:sz w:val="16"/>
              </w:rPr>
            </w:r>
          </w:p>
          <w:p>
            <w:pPr>
              <w:pStyle w:val="ApprovedBox"/>
              <w:spacing w:after="40"/>
            </w:pPr>
            <w:r>
              <w:rPr>
                <w:rFonts w:ascii="Aptos" w:hAnsi="Aptos"/>
                <w:sz w:val="16"/>
              </w:rPr>
              <w:t>SUPPORTING COPY</w:t>
            </w:r>
          </w:p>
          <w:p>
            <w:pPr>
              <w:pStyle w:val="ApprovedBox"/>
              <w:spacing w:after="40"/>
            </w:pPr>
            <w:r>
              <w:rPr>
                <w:rFonts w:ascii="Aptos" w:hAnsi="Aptos"/>
                <w:sz w:val="16"/>
              </w:rPr>
              <w:t>Answer a few questions about where and how your business operates. In around six minutes, you will receive a personalized Risk Map. No account is required.</w:t>
            </w:r>
          </w:p>
          <w:p>
            <w:pPr>
              <w:pStyle w:val="ApprovedBox"/>
              <w:spacing w:after="40"/>
            </w:pPr>
            <w:r>
              <w:rPr>
                <w:rFonts w:ascii="Aptos" w:hAnsi="Aptos"/>
                <w:sz w:val="16"/>
              </w:rPr>
            </w:r>
          </w:p>
          <w:p>
            <w:pPr>
              <w:pStyle w:val="ApprovedBox"/>
              <w:spacing w:after="40"/>
            </w:pPr>
            <w:r>
              <w:rPr>
                <w:rFonts w:ascii="Aptos" w:hAnsi="Aptos"/>
                <w:sz w:val="16"/>
              </w:rPr>
              <w:t>STEPS</w:t>
            </w:r>
          </w:p>
          <w:p>
            <w:pPr>
              <w:pStyle w:val="ApprovedBox"/>
              <w:spacing w:after="40"/>
            </w:pPr>
            <w:r>
              <w:rPr>
                <w:rFonts w:ascii="Aptos" w:hAnsi="Aptos"/>
                <w:sz w:val="16"/>
              </w:rPr>
              <w:t>Markets · Business Model · Areas of Support · Review</w:t>
            </w:r>
          </w:p>
          <w:p>
            <w:pPr>
              <w:pStyle w:val="ApprovedBox"/>
              <w:spacing w:after="40"/>
            </w:pPr>
            <w:r>
              <w:rPr>
                <w:rFonts w:ascii="Aptos" w:hAnsi="Aptos"/>
                <w:sz w:val="16"/>
              </w:rPr>
            </w:r>
          </w:p>
          <w:p>
            <w:pPr>
              <w:pStyle w:val="ApprovedBox"/>
              <w:spacing w:after="40"/>
            </w:pPr>
            <w:r>
              <w:rPr>
                <w:rFonts w:ascii="Aptos" w:hAnsi="Aptos"/>
                <w:sz w:val="16"/>
              </w:rPr>
              <w:t>BUTTONS</w:t>
            </w:r>
          </w:p>
          <w:p>
            <w:pPr>
              <w:pStyle w:val="ApprovedBox"/>
              <w:spacing w:after="40"/>
            </w:pPr>
            <w:r>
              <w:rPr>
                <w:rFonts w:ascii="Aptos" w:hAnsi="Aptos"/>
                <w:sz w:val="16"/>
              </w:rPr>
              <w:t>Back · Continue · Skip This Step · Create My Risk Map</w:t>
            </w:r>
          </w:p>
        </w:tc>
      </w:tr>
    </w:tbl>
    <w:p>
      <w:pPr>
        <w:spacing w:after="0"/>
      </w:pPr>
    </w:p>
    <w:p>
      <w:pPr>
        <w:pStyle w:val="Heading2"/>
      </w:pPr>
      <w:r>
        <w:t>Step 1 — Markets</w:t>
      </w:r>
    </w:p>
    <w:p>
      <w:r>
        <w:t>Question: Where does your business operate?</w:t>
      </w:r>
    </w:p>
    <w:p>
      <w:r>
        <w:t>Instruction: Include countries where you sell, store goods, have a company, or otherwise conduct business.</w:t>
      </w:r>
    </w:p>
    <w:p>
      <w:pPr>
        <w:pStyle w:val="Heading2"/>
      </w:pPr>
      <w:r>
        <w:t>Step 2 — Business model</w:t>
      </w:r>
    </w:p>
    <w:p>
      <w:pPr>
        <w:pStyle w:val="ListBullet"/>
      </w:pPr>
      <w:r>
        <w:t>Online sales to consumers (D2C)</w:t>
      </w:r>
    </w:p>
    <w:p>
      <w:pPr>
        <w:pStyle w:val="ListBullet"/>
      </w:pPr>
      <w:r>
        <w:t>Business sales (B2B or wholesale)</w:t>
      </w:r>
    </w:p>
    <w:p>
      <w:pPr>
        <w:pStyle w:val="ListBullet"/>
      </w:pPr>
      <w:r>
        <w:t>Marketplace operator</w:t>
      </w:r>
    </w:p>
    <w:p>
      <w:pPr>
        <w:pStyle w:val="ListBullet"/>
      </w:pPr>
      <w:r>
        <w:t>Software or digital services</w:t>
      </w:r>
    </w:p>
    <w:p>
      <w:pPr>
        <w:pStyle w:val="ListBullet"/>
      </w:pPr>
      <w:r>
        <w:t>Multiple channels</w:t>
      </w:r>
    </w:p>
    <w:p>
      <w:pPr>
        <w:pStyle w:val="ListBullet"/>
      </w:pPr>
      <w:r>
        <w:t>Other</w:t>
      </w:r>
    </w:p>
    <w:p>
      <w:pPr>
        <w:pStyle w:val="Heading2"/>
      </w:pPr>
      <w:r>
        <w:t>Step 3 — Areas of support</w:t>
      </w:r>
    </w:p>
    <w:p>
      <w:pPr>
        <w:pStyle w:val="ListBullet"/>
      </w:pPr>
      <w:r>
        <w:t>Tax &amp; VAT</w:t>
      </w:r>
    </w:p>
    <w:p>
      <w:pPr>
        <w:pStyle w:val="ListBullet"/>
      </w:pPr>
      <w:r>
        <w:t>EPR &amp; Packaging</w:t>
      </w:r>
    </w:p>
    <w:p>
      <w:pPr>
        <w:pStyle w:val="ListBullet"/>
      </w:pPr>
      <w:r>
        <w:t>Data &amp; Privacy</w:t>
      </w:r>
    </w:p>
    <w:p>
      <w:pPr>
        <w:pStyle w:val="ListBullet"/>
      </w:pPr>
      <w:r>
        <w:t>Marketing Compliance</w:t>
      </w:r>
    </w:p>
    <w:p>
      <w:pPr>
        <w:pStyle w:val="ListBullet"/>
      </w:pPr>
      <w:r>
        <w:t>Company Setup &amp; Filings</w:t>
      </w:r>
    </w:p>
    <w:p>
      <w:pPr>
        <w:pStyle w:val="ListBullet"/>
      </w:pPr>
      <w:r>
        <w:t>Product Compliance</w:t>
      </w:r>
    </w:p>
    <w:p>
      <w:pPr>
        <w:pStyle w:val="ListBullet"/>
      </w:pPr>
      <w:r>
        <w:t>Logistics &amp; Customs</w:t>
      </w:r>
    </w:p>
    <w:p>
      <w:pPr>
        <w:pStyle w:val="ListBullet"/>
      </w:pPr>
      <w:r>
        <w:t>Legal Support</w:t>
      </w:r>
    </w:p>
    <w:p>
      <w:pPr>
        <w:pStyle w:val="Heading2"/>
      </w:pPr>
      <w:r>
        <w:t>Step 4 — Review</w:t>
      </w:r>
    </w:p>
    <w:p>
      <w:r>
        <w:t>Review your answers. Edit anything that needs to change before creating your Risk Map.</w:t>
      </w:r>
    </w:p>
    <w:p>
      <w:r>
        <w:t>Trust line: Anonymous · No account required · Your Risk Map will be ready in seconds</w:t>
      </w:r>
    </w:p>
    <w:tbl>
      <w:tblPr>
        <w:tblW w:type="auto" w:w="0"/>
        <w:jc w:val="center"/>
        <w:tblLayout w:type="fixed"/>
        <w:tblLook w:firstColumn="1" w:firstRow="1" w:lastColumn="0" w:lastRow="0" w:noHBand="0" w:noVBand="1" w:val="04A0"/>
      </w:tblPr>
      <w:tblGrid>
        <w:gridCol w:w="9792"/>
      </w:tblGrid>
      <w:tr>
        <w:trPr>
          <w:cantSplit/>
        </w:trPr>
        <w:tc>
          <w:tcPr>
            <w:tcW w:type="dxa" w:w="9994"/>
            <w:shd w:fill="EEF4F7"/>
            <w:tcMar>
              <w:top w:w="90" w:type="dxa"/>
              <w:start w:w="110" w:type="dxa"/>
              <w:bottom w:w="90" w:type="dxa"/>
              <w:end w:w="110" w:type="dxa"/>
            </w:tcMar>
            <w:vAlign w:val="center"/>
          </w:tcPr>
          <w:p>
            <w:pPr>
              <w:pStyle w:val="DevNote"/>
            </w:pPr>
            <w:r>
              <w:rPr>
                <w:rFonts w:ascii="Aptos" w:hAnsi="Aptos"/>
                <w:b/>
                <w:color w:val="14A6A1"/>
                <w:sz w:val="16"/>
              </w:rPr>
              <w:t>DEVELOPER INSTRUCTION</w:t>
            </w:r>
          </w:p>
          <w:p>
            <w:pPr>
              <w:pStyle w:val="DevNote"/>
              <w:spacing w:after="40"/>
            </w:pPr>
            <w:r>
              <w:rPr>
                <w:rFonts w:ascii="Aptos" w:hAnsi="Aptos"/>
                <w:sz w:val="16"/>
              </w:rPr>
              <w:t>Do not promise an exact processing time such as four seconds unless performance testing supports it. “Likely to apply” must be used when applicability is not confirmed.</w:t>
            </w:r>
          </w:p>
        </w:tc>
      </w:tr>
    </w:tbl>
    <w:p>
      <w:pPr>
        <w:spacing w:after="0"/>
      </w:pPr>
    </w:p>
    <w:p>
      <w:r>
        <w:br w:type="page"/>
      </w:r>
    </w:p>
    <w:p>
      <w:pPr>
        <w:pStyle w:val="Heading1"/>
      </w:pPr>
      <w:r>
        <w:t>4. Risk Map</w:t>
      </w:r>
    </w:p>
    <w:tbl>
      <w:tblPr>
        <w:tblW w:type="auto" w:w="0"/>
        <w:jc w:val="center"/>
        <w:tblLayout w:type="fixed"/>
        <w:tblLook w:firstColumn="1" w:firstRow="1" w:lastColumn="0" w:lastRow="0" w:noHBand="0" w:noVBand="1" w:val="04A0"/>
      </w:tblPr>
      <w:tblGrid>
        <w:gridCol w:w="9792"/>
      </w:tblGrid>
      <w:tr>
        <w:trPr>
          <w:cantSplit/>
        </w:trPr>
        <w:tc>
          <w:tcPr>
            <w:tcW w:type="dxa" w:w="9994"/>
            <w:shd w:fill="F2F4F5"/>
            <w:tcMar>
              <w:top w:w="90" w:type="dxa"/>
              <w:start w:w="110" w:type="dxa"/>
              <w:bottom w:w="90" w:type="dxa"/>
              <w:end w:w="110" w:type="dxa"/>
            </w:tcMar>
            <w:vAlign w:val="center"/>
          </w:tcPr>
          <w:p>
            <w:pPr>
              <w:pStyle w:val="CurrentBox"/>
            </w:pPr>
            <w:r>
              <w:rPr>
                <w:rFonts w:ascii="Aptos" w:hAnsi="Aptos"/>
                <w:b/>
                <w:color w:val="14A6A1"/>
                <w:sz w:val="16"/>
              </w:rPr>
              <w:t>CURRENT WEBSITE WORDING</w:t>
            </w:r>
          </w:p>
          <w:p>
            <w:pPr>
              <w:pStyle w:val="CurrentBox"/>
              <w:spacing w:after="40"/>
            </w:pPr>
            <w:r>
              <w:rPr>
                <w:rFonts w:ascii="Aptos" w:hAnsi="Aptos"/>
                <w:sz w:val="16"/>
              </w:rPr>
              <w:t>Eyebrow: What a risk map looks like · anonymized example</w:t>
            </w:r>
          </w:p>
          <w:p>
            <w:pPr>
              <w:pStyle w:val="CurrentBox"/>
              <w:spacing w:after="40"/>
            </w:pPr>
            <w:r>
              <w:rPr>
                <w:rFonts w:ascii="Aptos" w:hAnsi="Aptos"/>
                <w:sz w:val="16"/>
              </w:rPr>
              <w:t>Stats include “Verified Partners.”</w:t>
            </w:r>
          </w:p>
          <w:p>
            <w:pPr>
              <w:pStyle w:val="CurrentBox"/>
              <w:spacing w:after="40"/>
            </w:pPr>
            <w:r>
              <w:rPr>
                <w:rFonts w:ascii="Aptos" w:hAnsi="Aptos"/>
                <w:sz w:val="16"/>
              </w:rPr>
              <w:t>Table uses Severity and Immediate.</w:t>
            </w:r>
          </w:p>
          <w:p>
            <w:pPr>
              <w:pStyle w:val="CurrentBox"/>
              <w:spacing w:after="40"/>
            </w:pPr>
            <w:r>
              <w:rPr>
                <w:rFonts w:ascii="Aptos" w:hAnsi="Aptos"/>
                <w:sz w:val="16"/>
              </w:rPr>
              <w:t>Example language includes “Critical priorities.”</w:t>
            </w:r>
          </w:p>
        </w:tc>
      </w:tr>
    </w:tbl>
    <w:p>
      <w:pPr>
        <w:spacing w:after="0"/>
      </w:pPr>
    </w:p>
    <w:tbl>
      <w:tblPr>
        <w:tblW w:type="auto" w:w="0"/>
        <w:jc w:val="center"/>
        <w:tblLayout w:type="fixed"/>
        <w:tblLook w:firstColumn="1" w:firstRow="1" w:lastColumn="0" w:lastRow="0" w:noHBand="0" w:noVBand="1" w:val="04A0"/>
      </w:tblPr>
      <w:tblGrid>
        <w:gridCol w:w="9792"/>
      </w:tblGrid>
      <w:tr>
        <w:trPr>
          <w:cantSplit/>
        </w:trPr>
        <w:tc>
          <w:tcPr>
            <w:tcW w:type="dxa" w:w="9994"/>
            <w:shd w:fill="E8F7F6"/>
            <w:tcMar>
              <w:top w:w="90" w:type="dxa"/>
              <w:start w:w="110" w:type="dxa"/>
              <w:bottom w:w="90" w:type="dxa"/>
              <w:end w:w="110" w:type="dxa"/>
            </w:tcMar>
            <w:vAlign w:val="center"/>
          </w:tcPr>
          <w:p>
            <w:pPr>
              <w:pStyle w:val="ApprovedBox"/>
            </w:pPr>
            <w:r>
              <w:rPr>
                <w:rFonts w:ascii="Aptos" w:hAnsi="Aptos"/>
                <w:b/>
                <w:color w:val="14A6A1"/>
                <w:sz w:val="16"/>
              </w:rPr>
              <w:t>APPROVED REPLACEMENT</w:t>
            </w:r>
          </w:p>
          <w:p>
            <w:pPr>
              <w:pStyle w:val="ApprovedBox"/>
              <w:spacing w:after="40"/>
            </w:pPr>
            <w:r>
              <w:rPr>
                <w:rFonts w:ascii="Aptos" w:hAnsi="Aptos"/>
                <w:sz w:val="16"/>
              </w:rPr>
              <w:t>EYEBROW</w:t>
            </w:r>
          </w:p>
          <w:p>
            <w:pPr>
              <w:pStyle w:val="ApprovedBox"/>
              <w:spacing w:after="40"/>
            </w:pPr>
            <w:r>
              <w:rPr>
                <w:rFonts w:ascii="Aptos" w:hAnsi="Aptos"/>
                <w:sz w:val="16"/>
              </w:rPr>
              <w:t>See an example Risk Map</w:t>
            </w:r>
          </w:p>
          <w:p>
            <w:pPr>
              <w:pStyle w:val="ApprovedBox"/>
              <w:spacing w:after="40"/>
            </w:pPr>
            <w:r>
              <w:rPr>
                <w:rFonts w:ascii="Aptos" w:hAnsi="Aptos"/>
                <w:sz w:val="16"/>
              </w:rPr>
            </w:r>
          </w:p>
          <w:p>
            <w:pPr>
              <w:pStyle w:val="ApprovedBox"/>
              <w:spacing w:after="40"/>
            </w:pPr>
            <w:r>
              <w:rPr>
                <w:rFonts w:ascii="Aptos" w:hAnsi="Aptos"/>
                <w:sz w:val="16"/>
              </w:rPr>
              <w:t>HEADLINE</w:t>
            </w:r>
          </w:p>
          <w:p>
            <w:pPr>
              <w:pStyle w:val="ApprovedBox"/>
              <w:spacing w:after="40"/>
            </w:pPr>
            <w:r>
              <w:rPr>
                <w:rFonts w:ascii="Aptos" w:hAnsi="Aptos"/>
                <w:sz w:val="16"/>
              </w:rPr>
              <w:t>See what may apply—and what to do first.</w:t>
            </w:r>
          </w:p>
          <w:p>
            <w:pPr>
              <w:pStyle w:val="ApprovedBox"/>
              <w:spacing w:after="40"/>
            </w:pPr>
            <w:r>
              <w:rPr>
                <w:rFonts w:ascii="Aptos" w:hAnsi="Aptos"/>
                <w:sz w:val="16"/>
              </w:rPr>
            </w:r>
          </w:p>
          <w:p>
            <w:pPr>
              <w:pStyle w:val="ApprovedBox"/>
              <w:spacing w:after="40"/>
            </w:pPr>
            <w:r>
              <w:rPr>
                <w:rFonts w:ascii="Aptos" w:hAnsi="Aptos"/>
                <w:sz w:val="16"/>
              </w:rPr>
              <w:t>EXAMPLE SUMMARY</w:t>
            </w:r>
          </w:p>
          <w:p>
            <w:pPr>
              <w:pStyle w:val="ApprovedBox"/>
              <w:spacing w:after="40"/>
            </w:pPr>
            <w:r>
              <w:rPr>
                <w:rFonts w:ascii="Aptos" w:hAnsi="Aptos"/>
                <w:sz w:val="16"/>
              </w:rPr>
              <w:t>8 potential requirements identified</w:t>
            </w:r>
          </w:p>
          <w:p>
            <w:pPr>
              <w:pStyle w:val="ApprovedBox"/>
              <w:spacing w:after="40"/>
            </w:pPr>
            <w:r>
              <w:rPr>
                <w:rFonts w:ascii="Aptos" w:hAnsi="Aptos"/>
                <w:sz w:val="16"/>
              </w:rPr>
              <w:t>4 actions due within 30 days</w:t>
            </w:r>
          </w:p>
          <w:p>
            <w:pPr>
              <w:pStyle w:val="ApprovedBox"/>
              <w:spacing w:after="40"/>
            </w:pPr>
            <w:r>
              <w:rPr>
                <w:rFonts w:ascii="Aptos" w:hAnsi="Aptos"/>
                <w:sz w:val="16"/>
              </w:rPr>
              <w:t>14 days until your next key deadline</w:t>
            </w:r>
          </w:p>
          <w:p>
            <w:pPr>
              <w:pStyle w:val="ApprovedBox"/>
              <w:spacing w:after="40"/>
            </w:pPr>
            <w:r>
              <w:rPr>
                <w:rFonts w:ascii="Aptos" w:hAnsi="Aptos"/>
                <w:sz w:val="16"/>
              </w:rPr>
              <w:t>3 matching Verified Providers</w:t>
            </w:r>
          </w:p>
        </w:tc>
      </w:tr>
    </w:tbl>
    <w:p>
      <w:pPr>
        <w:spacing w:after="0"/>
      </w:pPr>
    </w:p>
    <w:p>
      <w:pPr>
        <w:pStyle w:val="Heading2"/>
      </w:pPr>
      <w:r>
        <w:t>Approved priority labels</w:t>
      </w:r>
    </w:p>
    <w:p>
      <w:r>
        <w:t>Low · Medium · High · Urgent</w:t>
      </w:r>
    </w:p>
    <w:p>
      <w:pPr>
        <w:pStyle w:val="Heading2"/>
      </w:pPr>
      <w:r>
        <w:t>Approved status labels and tooltips</w:t>
      </w:r>
    </w:p>
    <w:tbl>
      <w:tblPr>
        <w:tblStyle w:val="LightShading-Accent1"/>
        <w:tblW w:type="auto" w:w="0"/>
        <w:tblLook w:firstColumn="1" w:firstRow="1" w:lastColumn="0" w:lastRow="0" w:noHBand="0" w:noVBand="1" w:val="04A0"/>
      </w:tblPr>
      <w:tblGrid>
        <w:gridCol w:w="4997"/>
        <w:gridCol w:w="4997"/>
      </w:tblGrid>
      <w:tr>
        <w:trPr>
          <w:cantSplit/>
          <w:tblHeader w:val="true"/>
        </w:trPr>
        <w:tc>
          <w:tcPr>
            <w:tcW w:type="dxa" w:w="4997"/>
            <w:tcMar>
              <w:top w:w="90" w:type="dxa"/>
              <w:start w:w="110" w:type="dxa"/>
              <w:bottom w:w="90" w:type="dxa"/>
              <w:end w:w="110" w:type="dxa"/>
            </w:tcMar>
            <w:shd w:fill="123047"/>
          </w:tcPr>
          <w:p>
            <w:r>
              <w:rPr>
                <w:rFonts w:ascii="Aptos" w:hAnsi="Aptos"/>
                <w:b/>
                <w:color w:val="FFFFFF"/>
                <w:sz w:val="16"/>
              </w:rPr>
              <w:t>Status</w:t>
            </w:r>
          </w:p>
        </w:tc>
        <w:tc>
          <w:tcPr>
            <w:tcW w:type="dxa" w:w="4997"/>
            <w:tcMar>
              <w:top w:w="90" w:type="dxa"/>
              <w:start w:w="110" w:type="dxa"/>
              <w:bottom w:w="90" w:type="dxa"/>
              <w:end w:w="110" w:type="dxa"/>
            </w:tcMar>
            <w:shd w:fill="123047"/>
          </w:tcPr>
          <w:p>
            <w:r>
              <w:rPr>
                <w:rFonts w:ascii="Aptos" w:hAnsi="Aptos"/>
                <w:b/>
                <w:color w:val="FFFFFF"/>
                <w:sz w:val="16"/>
              </w:rPr>
              <w:t>Tooltip</w:t>
            </w:r>
          </w:p>
        </w:tc>
      </w:tr>
      <w:tr>
        <w:trPr>
          <w:cantSplit/>
        </w:trPr>
        <w:tc>
          <w:tcPr>
            <w:tcW w:type="dxa" w:w="4997"/>
            <w:tcMar>
              <w:top w:w="90" w:type="dxa"/>
              <w:start w:w="110" w:type="dxa"/>
              <w:bottom w:w="90" w:type="dxa"/>
              <w:end w:w="110" w:type="dxa"/>
            </w:tcMar>
          </w:tcPr>
          <w:p>
            <w:r>
              <w:rPr>
                <w:rFonts w:ascii="Aptos" w:hAnsi="Aptos"/>
                <w:sz w:val="16"/>
              </w:rPr>
              <w:t>Confirmed</w:t>
            </w:r>
          </w:p>
        </w:tc>
        <w:tc>
          <w:tcPr>
            <w:tcW w:type="dxa" w:w="4997"/>
            <w:tcMar>
              <w:top w:w="90" w:type="dxa"/>
              <w:start w:w="110" w:type="dxa"/>
              <w:bottom w:w="90" w:type="dxa"/>
              <w:end w:w="110" w:type="dxa"/>
            </w:tcMar>
          </w:tcPr>
          <w:p>
            <w:r>
              <w:rPr>
                <w:rFonts w:ascii="Aptos" w:hAnsi="Aptos"/>
                <w:sz w:val="16"/>
              </w:rPr>
              <w:t>This requirement applies based on the information you provided.</w:t>
            </w:r>
          </w:p>
        </w:tc>
      </w:tr>
      <w:tr>
        <w:trPr>
          <w:cantSplit/>
        </w:trPr>
        <w:tc>
          <w:tcPr>
            <w:tcW w:type="dxa" w:w="4997"/>
            <w:tcMar>
              <w:top w:w="90" w:type="dxa"/>
              <w:start w:w="110" w:type="dxa"/>
              <w:bottom w:w="90" w:type="dxa"/>
              <w:end w:w="110" w:type="dxa"/>
            </w:tcMar>
          </w:tcPr>
          <w:p>
            <w:r>
              <w:rPr>
                <w:rFonts w:ascii="Aptos" w:hAnsi="Aptos"/>
                <w:sz w:val="16"/>
              </w:rPr>
              <w:t>Likely to Apply</w:t>
            </w:r>
          </w:p>
        </w:tc>
        <w:tc>
          <w:tcPr>
            <w:tcW w:type="dxa" w:w="4997"/>
            <w:tcMar>
              <w:top w:w="90" w:type="dxa"/>
              <w:start w:w="110" w:type="dxa"/>
              <w:bottom w:w="90" w:type="dxa"/>
              <w:end w:w="110" w:type="dxa"/>
            </w:tcMar>
          </w:tcPr>
          <w:p>
            <w:r>
              <w:rPr>
                <w:rFonts w:ascii="Aptos" w:hAnsi="Aptos"/>
                <w:sz w:val="16"/>
              </w:rPr>
              <w:t>This requirement probably applies, but additional information or professional confirmation may be needed.</w:t>
            </w:r>
          </w:p>
        </w:tc>
      </w:tr>
      <w:tr>
        <w:trPr>
          <w:cantSplit/>
        </w:trPr>
        <w:tc>
          <w:tcPr>
            <w:tcW w:type="dxa" w:w="4997"/>
            <w:tcMar>
              <w:top w:w="90" w:type="dxa"/>
              <w:start w:w="110" w:type="dxa"/>
              <w:bottom w:w="90" w:type="dxa"/>
              <w:end w:w="110" w:type="dxa"/>
            </w:tcMar>
          </w:tcPr>
          <w:p>
            <w:r>
              <w:rPr>
                <w:rFonts w:ascii="Aptos" w:hAnsi="Aptos"/>
                <w:sz w:val="16"/>
              </w:rPr>
              <w:t>More Information Needed</w:t>
            </w:r>
          </w:p>
        </w:tc>
        <w:tc>
          <w:tcPr>
            <w:tcW w:type="dxa" w:w="4997"/>
            <w:tcMar>
              <w:top w:w="90" w:type="dxa"/>
              <w:start w:w="110" w:type="dxa"/>
              <w:bottom w:w="90" w:type="dxa"/>
              <w:end w:w="110" w:type="dxa"/>
            </w:tcMar>
          </w:tcPr>
          <w:p>
            <w:r>
              <w:rPr>
                <w:rFonts w:ascii="Aptos" w:hAnsi="Aptos"/>
                <w:sz w:val="16"/>
              </w:rPr>
              <w:t>Answer a few additional questions so we can assess this requirement more accurately.</w:t>
            </w:r>
          </w:p>
        </w:tc>
      </w:tr>
    </w:tbl>
    <w:tbl>
      <w:tblPr>
        <w:tblW w:type="auto" w:w="0"/>
        <w:jc w:val="center"/>
        <w:tblLayout w:type="fixed"/>
        <w:tblLook w:firstColumn="1" w:firstRow="1" w:lastColumn="0" w:lastRow="0" w:noHBand="0" w:noVBand="1" w:val="04A0"/>
      </w:tblPr>
      <w:tblGrid>
        <w:gridCol w:w="9792"/>
      </w:tblGrid>
      <w:tr>
        <w:trPr>
          <w:cantSplit/>
        </w:trPr>
        <w:tc>
          <w:tcPr>
            <w:tcW w:type="dxa" w:w="9994"/>
            <w:shd w:fill="EEF4F7"/>
            <w:tcMar>
              <w:top w:w="90" w:type="dxa"/>
              <w:start w:w="110" w:type="dxa"/>
              <w:bottom w:w="90" w:type="dxa"/>
              <w:end w:w="110" w:type="dxa"/>
            </w:tcMar>
            <w:vAlign w:val="center"/>
          </w:tcPr>
          <w:p>
            <w:pPr>
              <w:pStyle w:val="DevNote"/>
            </w:pPr>
            <w:r>
              <w:rPr>
                <w:rFonts w:ascii="Aptos" w:hAnsi="Aptos"/>
                <w:b/>
                <w:color w:val="14A6A1"/>
                <w:sz w:val="16"/>
              </w:rPr>
              <w:t>DEVELOPER INSTRUCTION</w:t>
            </w:r>
          </w:p>
          <w:p>
            <w:pPr>
              <w:pStyle w:val="DevNote"/>
              <w:spacing w:after="40"/>
            </w:pPr>
            <w:r>
              <w:rPr>
                <w:rFonts w:ascii="Aptos" w:hAnsi="Aptos"/>
                <w:sz w:val="16"/>
              </w:rPr>
              <w:t>“Answer 2 Questions” is a clickable action, not a status. Rows should be action-oriented and show the requirement, market, next deadline, priority, status, and next step.</w:t>
            </w:r>
          </w:p>
        </w:tc>
      </w:tr>
    </w:tbl>
    <w:p>
      <w:pPr>
        <w:spacing w:after="0"/>
      </w:pPr>
    </w:p>
    <w:p>
      <w:pPr>
        <w:pStyle w:val="Heading1"/>
      </w:pPr>
      <w:r>
        <w:t>5. Provider Matching</w:t>
      </w:r>
    </w:p>
    <w:tbl>
      <w:tblPr>
        <w:tblW w:type="auto" w:w="0"/>
        <w:jc w:val="center"/>
        <w:tblLayout w:type="fixed"/>
        <w:tblLook w:firstColumn="1" w:firstRow="1" w:lastColumn="0" w:lastRow="0" w:noHBand="0" w:noVBand="1" w:val="04A0"/>
      </w:tblPr>
      <w:tblGrid>
        <w:gridCol w:w="9792"/>
      </w:tblGrid>
      <w:tr>
        <w:trPr>
          <w:cantSplit/>
        </w:trPr>
        <w:tc>
          <w:tcPr>
            <w:tcW w:type="dxa" w:w="9994"/>
            <w:shd w:fill="F2F4F5"/>
            <w:tcMar>
              <w:top w:w="90" w:type="dxa"/>
              <w:start w:w="110" w:type="dxa"/>
              <w:bottom w:w="90" w:type="dxa"/>
              <w:end w:w="110" w:type="dxa"/>
            </w:tcMar>
            <w:vAlign w:val="center"/>
          </w:tcPr>
          <w:p>
            <w:pPr>
              <w:pStyle w:val="CurrentBox"/>
            </w:pPr>
            <w:r>
              <w:rPr>
                <w:rFonts w:ascii="Aptos" w:hAnsi="Aptos"/>
                <w:b/>
                <w:color w:val="14A6A1"/>
                <w:sz w:val="16"/>
              </w:rPr>
              <w:t>CURRENT WEBSITE WORDING</w:t>
            </w:r>
          </w:p>
          <w:p>
            <w:pPr>
              <w:pStyle w:val="CurrentBox"/>
              <w:spacing w:after="40"/>
            </w:pPr>
            <w:r>
              <w:rPr>
                <w:rFonts w:ascii="Aptos" w:hAnsi="Aptos"/>
                <w:sz w:val="16"/>
              </w:rPr>
              <w:t>Risk maps are public—every compliance dashboard offers one. What makes CompliHub360 different is what comes after: verified providers... You don’t search. We match.</w:t>
            </w:r>
          </w:p>
          <w:p>
            <w:pPr>
              <w:pStyle w:val="CurrentBox"/>
              <w:spacing w:after="40"/>
            </w:pPr>
            <w:r>
              <w:rPr>
                <w:rFonts w:ascii="Aptos" w:hAnsi="Aptos"/>
                <w:sz w:val="16"/>
              </w:rPr>
              <w:t>Three anonymous dossiers use “identity locked.”</w:t>
            </w:r>
          </w:p>
          <w:p>
            <w:pPr>
              <w:pStyle w:val="CurrentBox"/>
              <w:spacing w:after="40"/>
            </w:pPr>
            <w:r>
              <w:rPr>
                <w:rFonts w:ascii="Aptos" w:hAnsi="Aptos"/>
                <w:sz w:val="16"/>
              </w:rPr>
              <w:t>CTA: Unlock matches with a free account.</w:t>
            </w:r>
          </w:p>
        </w:tc>
      </w:tr>
    </w:tbl>
    <w:p>
      <w:pPr>
        <w:spacing w:after="0"/>
      </w:pPr>
    </w:p>
    <w:tbl>
      <w:tblPr>
        <w:tblW w:type="auto" w:w="0"/>
        <w:jc w:val="center"/>
        <w:tblLayout w:type="fixed"/>
        <w:tblLook w:firstColumn="1" w:firstRow="1" w:lastColumn="0" w:lastRow="0" w:noHBand="0" w:noVBand="1" w:val="04A0"/>
      </w:tblPr>
      <w:tblGrid>
        <w:gridCol w:w="9792"/>
      </w:tblGrid>
      <w:tr>
        <w:trPr>
          <w:cantSplit/>
        </w:trPr>
        <w:tc>
          <w:tcPr>
            <w:tcW w:type="dxa" w:w="9994"/>
            <w:shd w:fill="E8F7F6"/>
            <w:tcMar>
              <w:top w:w="90" w:type="dxa"/>
              <w:start w:w="110" w:type="dxa"/>
              <w:bottom w:w="90" w:type="dxa"/>
              <w:end w:w="110" w:type="dxa"/>
            </w:tcMar>
            <w:vAlign w:val="center"/>
          </w:tcPr>
          <w:p>
            <w:pPr>
              <w:pStyle w:val="ApprovedBox"/>
            </w:pPr>
            <w:r>
              <w:rPr>
                <w:rFonts w:ascii="Aptos" w:hAnsi="Aptos"/>
                <w:b/>
                <w:color w:val="14A6A1"/>
                <w:sz w:val="16"/>
              </w:rPr>
              <w:t>APPROVED REPLACEMENT</w:t>
            </w:r>
          </w:p>
          <w:p>
            <w:pPr>
              <w:pStyle w:val="ApprovedBox"/>
              <w:spacing w:after="40"/>
            </w:pPr>
            <w:r>
              <w:rPr>
                <w:rFonts w:ascii="Aptos" w:hAnsi="Aptos"/>
                <w:sz w:val="16"/>
              </w:rPr>
              <w:t>EYEBROW</w:t>
            </w:r>
          </w:p>
          <w:p>
            <w:pPr>
              <w:pStyle w:val="ApprovedBox"/>
              <w:spacing w:after="40"/>
            </w:pPr>
            <w:r>
              <w:rPr>
                <w:rFonts w:ascii="Aptos" w:hAnsi="Aptos"/>
                <w:sz w:val="16"/>
              </w:rPr>
              <w:t>From understanding to action</w:t>
            </w:r>
          </w:p>
          <w:p>
            <w:pPr>
              <w:pStyle w:val="ApprovedBox"/>
              <w:spacing w:after="40"/>
            </w:pPr>
            <w:r>
              <w:rPr>
                <w:rFonts w:ascii="Aptos" w:hAnsi="Aptos"/>
                <w:sz w:val="16"/>
              </w:rPr>
            </w:r>
          </w:p>
          <w:p>
            <w:pPr>
              <w:pStyle w:val="ApprovedBox"/>
              <w:spacing w:after="40"/>
            </w:pPr>
            <w:r>
              <w:rPr>
                <w:rFonts w:ascii="Aptos" w:hAnsi="Aptos"/>
                <w:sz w:val="16"/>
              </w:rPr>
              <w:t>HEADLINE</w:t>
            </w:r>
          </w:p>
          <w:p>
            <w:pPr>
              <w:pStyle w:val="ApprovedBox"/>
              <w:spacing w:after="40"/>
            </w:pPr>
            <w:r>
              <w:rPr>
                <w:rFonts w:ascii="Aptos" w:hAnsi="Aptos"/>
                <w:sz w:val="16"/>
              </w:rPr>
              <w:t>Understanding what you need is only the beginning. Find the right professional to handle it.</w:t>
            </w:r>
          </w:p>
          <w:p>
            <w:pPr>
              <w:pStyle w:val="ApprovedBox"/>
              <w:spacing w:after="40"/>
            </w:pPr>
            <w:r>
              <w:rPr>
                <w:rFonts w:ascii="Aptos" w:hAnsi="Aptos"/>
                <w:sz w:val="16"/>
              </w:rPr>
            </w:r>
          </w:p>
          <w:p>
            <w:pPr>
              <w:pStyle w:val="ApprovedBox"/>
              <w:spacing w:after="40"/>
            </w:pPr>
            <w:r>
              <w:rPr>
                <w:rFonts w:ascii="Aptos" w:hAnsi="Aptos"/>
                <w:sz w:val="16"/>
              </w:rPr>
              <w:t>BODY</w:t>
            </w:r>
          </w:p>
          <w:p>
            <w:pPr>
              <w:pStyle w:val="ApprovedBox"/>
              <w:spacing w:after="40"/>
            </w:pPr>
            <w:r>
              <w:rPr>
                <w:rFonts w:ascii="Aptos" w:hAnsi="Aptos"/>
                <w:sz w:val="16"/>
              </w:rPr>
              <w:t>Your best matches are based on relevant expertise, market coverage, service quality, response time, availability, and fit. Provider names remain hidden during the initial comparison so you can focus on what matters—not brand recognition.</w:t>
            </w:r>
          </w:p>
          <w:p>
            <w:pPr>
              <w:pStyle w:val="ApprovedBox"/>
              <w:spacing w:after="40"/>
            </w:pPr>
            <w:r>
              <w:rPr>
                <w:rFonts w:ascii="Aptos" w:hAnsi="Aptos"/>
                <w:sz w:val="16"/>
              </w:rPr>
            </w:r>
          </w:p>
          <w:p>
            <w:pPr>
              <w:pStyle w:val="ApprovedBox"/>
              <w:spacing w:after="40"/>
            </w:pPr>
            <w:r>
              <w:rPr>
                <w:rFonts w:ascii="Aptos" w:hAnsi="Aptos"/>
                <w:sz w:val="16"/>
              </w:rPr>
              <w:t>IDENTITY LABEL</w:t>
            </w:r>
          </w:p>
          <w:p>
            <w:pPr>
              <w:pStyle w:val="ApprovedBox"/>
              <w:spacing w:after="40"/>
            </w:pPr>
            <w:r>
              <w:rPr>
                <w:rFonts w:ascii="Aptos" w:hAnsi="Aptos"/>
                <w:sz w:val="16"/>
              </w:rPr>
              <w:t>Identity revealed after you choose.</w:t>
            </w:r>
          </w:p>
          <w:p>
            <w:pPr>
              <w:pStyle w:val="ApprovedBox"/>
              <w:spacing w:after="40"/>
            </w:pPr>
            <w:r>
              <w:rPr>
                <w:rFonts w:ascii="Aptos" w:hAnsi="Aptos"/>
                <w:sz w:val="16"/>
              </w:rPr>
            </w:r>
          </w:p>
          <w:p>
            <w:pPr>
              <w:pStyle w:val="ApprovedBox"/>
              <w:spacing w:after="40"/>
            </w:pPr>
            <w:r>
              <w:rPr>
                <w:rFonts w:ascii="Aptos" w:hAnsi="Aptos"/>
                <w:sz w:val="16"/>
              </w:rPr>
              <w:t>SUPPORTING COPY</w:t>
            </w:r>
          </w:p>
          <w:p>
            <w:pPr>
              <w:pStyle w:val="ApprovedBox"/>
              <w:spacing w:after="40"/>
            </w:pPr>
            <w:r>
              <w:rPr>
                <w:rFonts w:ascii="Aptos" w:hAnsi="Aptos"/>
                <w:sz w:val="16"/>
              </w:rPr>
              <w:t>Choose one or more providers. Their names and full profiles are revealed when you book consultations.</w:t>
            </w:r>
          </w:p>
          <w:p>
            <w:pPr>
              <w:pStyle w:val="ApprovedBox"/>
              <w:spacing w:after="40"/>
            </w:pPr>
            <w:r>
              <w:rPr>
                <w:rFonts w:ascii="Aptos" w:hAnsi="Aptos"/>
                <w:sz w:val="16"/>
              </w:rPr>
            </w:r>
          </w:p>
          <w:p>
            <w:pPr>
              <w:pStyle w:val="ApprovedBox"/>
              <w:spacing w:after="40"/>
            </w:pPr>
            <w:r>
              <w:rPr>
                <w:rFonts w:ascii="Aptos" w:hAnsi="Aptos"/>
                <w:sz w:val="16"/>
              </w:rPr>
              <w:t>CTA</w:t>
            </w:r>
          </w:p>
          <w:p>
            <w:pPr>
              <w:pStyle w:val="ApprovedBox"/>
              <w:spacing w:after="40"/>
            </w:pPr>
            <w:r>
              <w:rPr>
                <w:rFonts w:ascii="Aptos" w:hAnsi="Aptos"/>
                <w:sz w:val="16"/>
              </w:rPr>
              <w:t>Create a free account to see your best matches.</w:t>
            </w:r>
          </w:p>
        </w:tc>
      </w:tr>
    </w:tbl>
    <w:p>
      <w:pPr>
        <w:spacing w:after="0"/>
      </w:pPr>
    </w:p>
    <w:p>
      <w:pPr>
        <w:pStyle w:val="Heading2"/>
      </w:pPr>
      <w:r>
        <w:t>Anonymous provider-card fields</w:t>
      </w:r>
    </w:p>
    <w:p>
      <w:pPr>
        <w:pStyle w:val="ListBullet"/>
      </w:pPr>
      <w:r>
        <w:t>Specialty and technical expertise</w:t>
      </w:r>
    </w:p>
    <w:p>
      <w:pPr>
        <w:pStyle w:val="ListBullet"/>
      </w:pPr>
      <w:r>
        <w:t>Countries and markets covered</w:t>
      </w:r>
    </w:p>
    <w:p>
      <w:pPr>
        <w:pStyle w:val="ListBullet"/>
      </w:pPr>
      <w:r>
        <w:t>Match percentage</w:t>
      </w:r>
    </w:p>
    <w:p>
      <w:pPr>
        <w:pStyle w:val="ListBullet"/>
      </w:pPr>
      <w:r>
        <w:t>Relevant priorities covered</w:t>
      </w:r>
    </w:p>
    <w:p>
      <w:pPr>
        <w:pStyle w:val="ListBullet"/>
      </w:pPr>
      <w:r>
        <w:t>Typical response time</w:t>
      </w:r>
    </w:p>
    <w:p>
      <w:pPr>
        <w:pStyle w:val="ListBullet"/>
      </w:pPr>
      <w:r>
        <w:t>Rating and review count</w:t>
      </w:r>
    </w:p>
    <w:p>
      <w:pPr>
        <w:pStyle w:val="ListBullet"/>
      </w:pPr>
      <w:r>
        <w:t>Completed engagements</w:t>
      </w:r>
    </w:p>
    <w:p>
      <w:pPr>
        <w:pStyle w:val="ListBullet"/>
      </w:pPr>
      <w:r>
        <w:t>Expected price range</w:t>
      </w:r>
    </w:p>
    <w:p>
      <w:pPr>
        <w:pStyle w:val="ListBullet"/>
      </w:pPr>
      <w:r>
        <w:t>Estimated service timeline</w:t>
      </w:r>
    </w:p>
    <w:p>
      <w:pPr>
        <w:pStyle w:val="ListBullet"/>
      </w:pPr>
      <w:r>
        <w:t>Non-identifying credential and verification summaries</w:t>
      </w:r>
    </w:p>
    <w:p>
      <w:pPr>
        <w:pStyle w:val="ListBullet"/>
      </w:pPr>
      <w:r>
        <w:t>Add to Selection</w:t>
      </w:r>
    </w:p>
    <w:p>
      <w:pPr>
        <w:pStyle w:val="ListBullet"/>
      </w:pPr>
      <w:r>
        <w:t>Book a Consultation</w:t>
      </w:r>
    </w:p>
    <w:p>
      <w:pPr>
        <w:pStyle w:val="Heading2"/>
      </w:pPr>
      <w:r>
        <w:t>Tooltips</w:t>
      </w:r>
    </w:p>
    <w:tbl>
      <w:tblPr>
        <w:tblStyle w:val="LightShading-Accent1"/>
        <w:tblW w:type="auto" w:w="0"/>
        <w:tblLook w:firstColumn="1" w:firstRow="1" w:lastColumn="0" w:lastRow="0" w:noHBand="0" w:noVBand="1" w:val="04A0"/>
      </w:tblPr>
      <w:tblGrid>
        <w:gridCol w:w="4997"/>
        <w:gridCol w:w="4997"/>
      </w:tblGrid>
      <w:tr>
        <w:trPr>
          <w:cantSplit/>
          <w:tblHeader w:val="true"/>
        </w:trPr>
        <w:tc>
          <w:tcPr>
            <w:tcW w:type="dxa" w:w="4997"/>
            <w:tcMar>
              <w:top w:w="90" w:type="dxa"/>
              <w:start w:w="110" w:type="dxa"/>
              <w:bottom w:w="90" w:type="dxa"/>
              <w:end w:w="110" w:type="dxa"/>
            </w:tcMar>
            <w:shd w:fill="123047"/>
          </w:tcPr>
          <w:p>
            <w:r>
              <w:rPr>
                <w:rFonts w:ascii="Aptos" w:hAnsi="Aptos"/>
                <w:b/>
                <w:color w:val="FFFFFF"/>
                <w:sz w:val="16"/>
              </w:rPr>
              <w:t>Term</w:t>
            </w:r>
          </w:p>
        </w:tc>
        <w:tc>
          <w:tcPr>
            <w:tcW w:type="dxa" w:w="4997"/>
            <w:tcMar>
              <w:top w:w="90" w:type="dxa"/>
              <w:start w:w="110" w:type="dxa"/>
              <w:bottom w:w="90" w:type="dxa"/>
              <w:end w:w="110" w:type="dxa"/>
            </w:tcMar>
            <w:shd w:fill="123047"/>
          </w:tcPr>
          <w:p>
            <w:r>
              <w:rPr>
                <w:rFonts w:ascii="Aptos" w:hAnsi="Aptos"/>
                <w:b/>
                <w:color w:val="FFFFFF"/>
                <w:sz w:val="16"/>
              </w:rPr>
              <w:t>Tooltip</w:t>
            </w:r>
          </w:p>
        </w:tc>
      </w:tr>
      <w:tr>
        <w:trPr>
          <w:cantSplit/>
        </w:trPr>
        <w:tc>
          <w:tcPr>
            <w:tcW w:type="dxa" w:w="4997"/>
            <w:tcMar>
              <w:top w:w="90" w:type="dxa"/>
              <w:start w:w="110" w:type="dxa"/>
              <w:bottom w:w="90" w:type="dxa"/>
              <w:end w:w="110" w:type="dxa"/>
            </w:tcMar>
          </w:tcPr>
          <w:p>
            <w:r>
              <w:rPr>
                <w:rFonts w:ascii="Aptos" w:hAnsi="Aptos"/>
                <w:sz w:val="16"/>
              </w:rPr>
              <w:t>Verified Provider</w:t>
            </w:r>
          </w:p>
        </w:tc>
        <w:tc>
          <w:tcPr>
            <w:tcW w:type="dxa" w:w="4997"/>
            <w:tcMar>
              <w:top w:w="90" w:type="dxa"/>
              <w:start w:w="110" w:type="dxa"/>
              <w:bottom w:w="90" w:type="dxa"/>
              <w:end w:w="110" w:type="dxa"/>
            </w:tcMar>
          </w:tcPr>
          <w:p>
            <w:r>
              <w:rPr>
                <w:rFonts w:ascii="Aptos" w:hAnsi="Aptos"/>
                <w:sz w:val="16"/>
              </w:rPr>
              <w:t>A provider reviewed by CompliHub360 against applicable business, experience, coverage, and quality criteria.</w:t>
            </w:r>
          </w:p>
        </w:tc>
      </w:tr>
      <w:tr>
        <w:trPr>
          <w:cantSplit/>
        </w:trPr>
        <w:tc>
          <w:tcPr>
            <w:tcW w:type="dxa" w:w="4997"/>
            <w:tcMar>
              <w:top w:w="90" w:type="dxa"/>
              <w:start w:w="110" w:type="dxa"/>
              <w:bottom w:w="90" w:type="dxa"/>
              <w:end w:w="110" w:type="dxa"/>
            </w:tcMar>
          </w:tcPr>
          <w:p>
            <w:r>
              <w:rPr>
                <w:rFonts w:ascii="Aptos" w:hAnsi="Aptos"/>
                <w:sz w:val="16"/>
              </w:rPr>
              <w:t>Match score</w:t>
            </w:r>
          </w:p>
        </w:tc>
        <w:tc>
          <w:tcPr>
            <w:tcW w:type="dxa" w:w="4997"/>
            <w:tcMar>
              <w:top w:w="90" w:type="dxa"/>
              <w:start w:w="110" w:type="dxa"/>
              <w:bottom w:w="90" w:type="dxa"/>
              <w:end w:w="110" w:type="dxa"/>
            </w:tcMar>
          </w:tcPr>
          <w:p>
            <w:r>
              <w:rPr>
                <w:rFonts w:ascii="Aptos" w:hAnsi="Aptos"/>
                <w:sz w:val="16"/>
              </w:rPr>
              <w:t>Shows how closely the provider’s verified capabilities fit the needs identified in your assessment.</w:t>
            </w:r>
          </w:p>
        </w:tc>
      </w:tr>
      <w:tr>
        <w:trPr>
          <w:cantSplit/>
        </w:trPr>
        <w:tc>
          <w:tcPr>
            <w:tcW w:type="dxa" w:w="4997"/>
            <w:tcMar>
              <w:top w:w="90" w:type="dxa"/>
              <w:start w:w="110" w:type="dxa"/>
              <w:bottom w:w="90" w:type="dxa"/>
              <w:end w:w="110" w:type="dxa"/>
            </w:tcMar>
          </w:tcPr>
          <w:p>
            <w:r>
              <w:rPr>
                <w:rFonts w:ascii="Aptos" w:hAnsi="Aptos"/>
                <w:sz w:val="16"/>
              </w:rPr>
              <w:t>Response time</w:t>
            </w:r>
          </w:p>
        </w:tc>
        <w:tc>
          <w:tcPr>
            <w:tcW w:type="dxa" w:w="4997"/>
            <w:tcMar>
              <w:top w:w="90" w:type="dxa"/>
              <w:start w:w="110" w:type="dxa"/>
              <w:bottom w:w="90" w:type="dxa"/>
              <w:end w:w="110" w:type="dxa"/>
            </w:tcMar>
          </w:tcPr>
          <w:p>
            <w:r>
              <w:rPr>
                <w:rFonts w:ascii="Aptos" w:hAnsi="Aptos"/>
                <w:sz w:val="16"/>
              </w:rPr>
              <w:t>The provider’s typical or expected time to respond to a consultation request.</w:t>
            </w:r>
          </w:p>
        </w:tc>
      </w:tr>
      <w:tr>
        <w:trPr>
          <w:cantSplit/>
        </w:trPr>
        <w:tc>
          <w:tcPr>
            <w:tcW w:type="dxa" w:w="4997"/>
            <w:tcMar>
              <w:top w:w="90" w:type="dxa"/>
              <w:start w:w="110" w:type="dxa"/>
              <w:bottom w:w="90" w:type="dxa"/>
              <w:end w:w="110" w:type="dxa"/>
            </w:tcMar>
          </w:tcPr>
          <w:p>
            <w:r>
              <w:rPr>
                <w:rFonts w:ascii="Aptos" w:hAnsi="Aptos"/>
                <w:sz w:val="16"/>
              </w:rPr>
              <w:t>Completed engagements</w:t>
            </w:r>
          </w:p>
        </w:tc>
        <w:tc>
          <w:tcPr>
            <w:tcW w:type="dxa" w:w="4997"/>
            <w:tcMar>
              <w:top w:w="90" w:type="dxa"/>
              <w:start w:w="110" w:type="dxa"/>
              <w:bottom w:w="90" w:type="dxa"/>
              <w:end w:w="110" w:type="dxa"/>
            </w:tcMar>
          </w:tcPr>
          <w:p>
            <w:r>
              <w:rPr>
                <w:rFonts w:ascii="Aptos" w:hAnsi="Aptos"/>
                <w:sz w:val="16"/>
              </w:rPr>
              <w:t>Professional engagements recorded as completed through CompliHub360.</w:t>
            </w:r>
          </w:p>
        </w:tc>
      </w:tr>
      <w:tr>
        <w:trPr>
          <w:cantSplit/>
        </w:trPr>
        <w:tc>
          <w:tcPr>
            <w:tcW w:type="dxa" w:w="4997"/>
            <w:tcMar>
              <w:top w:w="90" w:type="dxa"/>
              <w:start w:w="110" w:type="dxa"/>
              <w:bottom w:w="90" w:type="dxa"/>
              <w:end w:w="110" w:type="dxa"/>
            </w:tcMar>
          </w:tcPr>
          <w:p>
            <w:r>
              <w:rPr>
                <w:rFonts w:ascii="Aptos" w:hAnsi="Aptos"/>
                <w:sz w:val="16"/>
              </w:rPr>
              <w:t>Identity revealed after you choose</w:t>
            </w:r>
          </w:p>
        </w:tc>
        <w:tc>
          <w:tcPr>
            <w:tcW w:type="dxa" w:w="4997"/>
            <w:tcMar>
              <w:top w:w="90" w:type="dxa"/>
              <w:start w:w="110" w:type="dxa"/>
              <w:bottom w:w="90" w:type="dxa"/>
              <w:end w:w="110" w:type="dxa"/>
            </w:tcMar>
          </w:tcPr>
          <w:p>
            <w:r>
              <w:rPr>
                <w:rFonts w:ascii="Aptos" w:hAnsi="Aptos"/>
                <w:sz w:val="16"/>
              </w:rPr>
              <w:t>The provider’s name and full profile are shown after you select the provider and book a consultation.</w:t>
            </w:r>
          </w:p>
        </w:tc>
      </w:tr>
    </w:tbl>
    <w:tbl>
      <w:tblPr>
        <w:tblW w:type="auto" w:w="0"/>
        <w:jc w:val="center"/>
        <w:tblLayout w:type="fixed"/>
        <w:tblLook w:firstColumn="1" w:firstRow="1" w:lastColumn="0" w:lastRow="0" w:noHBand="0" w:noVBand="1" w:val="04A0"/>
      </w:tblPr>
      <w:tblGrid>
        <w:gridCol w:w="9792"/>
      </w:tblGrid>
      <w:tr>
        <w:trPr>
          <w:cantSplit/>
        </w:trPr>
        <w:tc>
          <w:tcPr>
            <w:tcW w:type="dxa" w:w="9994"/>
            <w:shd w:fill="EEF4F7"/>
            <w:tcMar>
              <w:top w:w="90" w:type="dxa"/>
              <w:start w:w="110" w:type="dxa"/>
              <w:bottom w:w="90" w:type="dxa"/>
              <w:end w:w="110" w:type="dxa"/>
            </w:tcMar>
            <w:vAlign w:val="center"/>
          </w:tcPr>
          <w:p>
            <w:pPr>
              <w:pStyle w:val="DevNote"/>
            </w:pPr>
            <w:r>
              <w:rPr>
                <w:rFonts w:ascii="Aptos" w:hAnsi="Aptos"/>
                <w:b/>
                <w:color w:val="14A6A1"/>
                <w:sz w:val="16"/>
              </w:rPr>
              <w:t>DEVELOPER INSTRUCTION</w:t>
            </w:r>
          </w:p>
          <w:p>
            <w:pPr>
              <w:pStyle w:val="DevNote"/>
              <w:spacing w:after="40"/>
            </w:pPr>
            <w:r>
              <w:rPr>
                <w:rFonts w:ascii="Aptos" w:hAnsi="Aptos"/>
                <w:sz w:val="16"/>
              </w:rPr>
              <w:t>Matching and ranking cannot be purchased. Before booking, do not show names, logos, exact award names, certificate links, BBB profiles, or other details that reveal provider identity.</w:t>
            </w:r>
          </w:p>
        </w:tc>
      </w:tr>
    </w:tbl>
    <w:p>
      <w:pPr>
        <w:spacing w:after="0"/>
      </w:pPr>
    </w:p>
    <w:p>
      <w:pPr>
        <w:pStyle w:val="Heading1"/>
      </w:pPr>
      <w:r>
        <w:t>6. How CompliHub360 Works</w:t>
      </w:r>
    </w:p>
    <w:tbl>
      <w:tblPr>
        <w:tblW w:type="auto" w:w="0"/>
        <w:jc w:val="center"/>
        <w:tblLayout w:type="fixed"/>
        <w:tblLook w:firstColumn="1" w:firstRow="1" w:lastColumn="0" w:lastRow="0" w:noHBand="0" w:noVBand="1" w:val="04A0"/>
      </w:tblPr>
      <w:tblGrid>
        <w:gridCol w:w="9792"/>
      </w:tblGrid>
      <w:tr>
        <w:trPr>
          <w:cantSplit/>
        </w:trPr>
        <w:tc>
          <w:tcPr>
            <w:tcW w:type="dxa" w:w="9994"/>
            <w:shd w:fill="F2F4F5"/>
            <w:tcMar>
              <w:top w:w="90" w:type="dxa"/>
              <w:start w:w="110" w:type="dxa"/>
              <w:bottom w:w="90" w:type="dxa"/>
              <w:end w:w="110" w:type="dxa"/>
            </w:tcMar>
            <w:vAlign w:val="center"/>
          </w:tcPr>
          <w:p>
            <w:pPr>
              <w:pStyle w:val="CurrentBox"/>
            </w:pPr>
            <w:r>
              <w:rPr>
                <w:rFonts w:ascii="Aptos" w:hAnsi="Aptos"/>
                <w:b/>
                <w:color w:val="14A6A1"/>
                <w:sz w:val="16"/>
              </w:rPr>
              <w:t>CURRENT WEBSITE WORDING</w:t>
            </w:r>
          </w:p>
          <w:p>
            <w:pPr>
              <w:pStyle w:val="CurrentBox"/>
              <w:spacing w:after="40"/>
            </w:pPr>
            <w:r>
              <w:rPr>
                <w:rFonts w:ascii="Aptos" w:hAnsi="Aptos"/>
                <w:sz w:val="16"/>
              </w:rPr>
              <w:t>The original five-step copy uses technical phrases including “quality before names,” “book, then hand over,” and “legal basis.”</w:t>
            </w:r>
          </w:p>
        </w:tc>
      </w:tr>
    </w:tbl>
    <w:p>
      <w:pPr>
        <w:spacing w:after="0"/>
      </w:pPr>
    </w:p>
    <w:tbl>
      <w:tblPr>
        <w:tblW w:type="auto" w:w="0"/>
        <w:jc w:val="center"/>
        <w:tblLayout w:type="fixed"/>
        <w:tblLook w:firstColumn="1" w:firstRow="1" w:lastColumn="0" w:lastRow="0" w:noHBand="0" w:noVBand="1" w:val="04A0"/>
      </w:tblPr>
      <w:tblGrid>
        <w:gridCol w:w="9792"/>
      </w:tblGrid>
      <w:tr>
        <w:trPr>
          <w:cantSplit/>
        </w:trPr>
        <w:tc>
          <w:tcPr>
            <w:tcW w:type="dxa" w:w="9994"/>
            <w:shd w:fill="E8F7F6"/>
            <w:tcMar>
              <w:top w:w="90" w:type="dxa"/>
              <w:start w:w="110" w:type="dxa"/>
              <w:bottom w:w="90" w:type="dxa"/>
              <w:end w:w="110" w:type="dxa"/>
            </w:tcMar>
            <w:vAlign w:val="center"/>
          </w:tcPr>
          <w:p>
            <w:pPr>
              <w:pStyle w:val="ApprovedBox"/>
            </w:pPr>
            <w:r>
              <w:rPr>
                <w:rFonts w:ascii="Aptos" w:hAnsi="Aptos"/>
                <w:b/>
                <w:color w:val="14A6A1"/>
                <w:sz w:val="16"/>
              </w:rPr>
              <w:t>APPROVED REPLACEMENT</w:t>
            </w:r>
          </w:p>
          <w:p>
            <w:pPr>
              <w:pStyle w:val="ApprovedBox"/>
              <w:spacing w:after="40"/>
            </w:pPr>
            <w:r>
              <w:rPr>
                <w:rFonts w:ascii="Aptos" w:hAnsi="Aptos"/>
                <w:sz w:val="16"/>
              </w:rPr>
              <w:t>EYEBROW</w:t>
            </w:r>
          </w:p>
          <w:p>
            <w:pPr>
              <w:pStyle w:val="ApprovedBox"/>
              <w:spacing w:after="40"/>
            </w:pPr>
            <w:r>
              <w:rPr>
                <w:rFonts w:ascii="Aptos" w:hAnsi="Aptos"/>
                <w:sz w:val="16"/>
              </w:rPr>
              <w:t>How CompliHub360 works</w:t>
            </w:r>
          </w:p>
          <w:p>
            <w:pPr>
              <w:pStyle w:val="ApprovedBox"/>
              <w:spacing w:after="40"/>
            </w:pPr>
            <w:r>
              <w:rPr>
                <w:rFonts w:ascii="Aptos" w:hAnsi="Aptos"/>
                <w:sz w:val="16"/>
              </w:rPr>
            </w:r>
          </w:p>
          <w:p>
            <w:pPr>
              <w:pStyle w:val="ApprovedBox"/>
              <w:spacing w:after="40"/>
            </w:pPr>
            <w:r>
              <w:rPr>
                <w:rFonts w:ascii="Aptos" w:hAnsi="Aptos"/>
                <w:sz w:val="16"/>
              </w:rPr>
              <w:t>HEADLINE</w:t>
            </w:r>
          </w:p>
          <w:p>
            <w:pPr>
              <w:pStyle w:val="ApprovedBox"/>
              <w:spacing w:after="40"/>
            </w:pPr>
            <w:r>
              <w:rPr>
                <w:rFonts w:ascii="Aptos" w:hAnsi="Aptos"/>
                <w:sz w:val="16"/>
              </w:rPr>
              <w:t>A clearer path from your first question to real action.</w:t>
            </w:r>
          </w:p>
          <w:p>
            <w:pPr>
              <w:pStyle w:val="ApprovedBox"/>
              <w:spacing w:after="40"/>
            </w:pPr>
            <w:r>
              <w:rPr>
                <w:rFonts w:ascii="Aptos" w:hAnsi="Aptos"/>
                <w:sz w:val="16"/>
              </w:rPr>
            </w:r>
          </w:p>
          <w:p>
            <w:pPr>
              <w:pStyle w:val="ApprovedBox"/>
              <w:spacing w:after="40"/>
            </w:pPr>
            <w:r>
              <w:rPr>
                <w:rFonts w:ascii="Aptos" w:hAnsi="Aptos"/>
                <w:sz w:val="16"/>
              </w:rPr>
              <w:t>LEAD</w:t>
            </w:r>
          </w:p>
          <w:p>
            <w:pPr>
              <w:pStyle w:val="ApprovedBox"/>
              <w:spacing w:after="40"/>
            </w:pPr>
            <w:r>
              <w:rPr>
                <w:rFonts w:ascii="Aptos" w:hAnsi="Aptos"/>
                <w:sz w:val="16"/>
              </w:rPr>
              <w:t>Use the complete journey or only the support you need. You remain in control of what happens next.</w:t>
            </w:r>
          </w:p>
        </w:tc>
      </w:tr>
    </w:tbl>
    <w:p>
      <w:pPr>
        <w:spacing w:after="0"/>
      </w:pPr>
    </w:p>
    <w:p>
      <w:pPr>
        <w:keepNext/>
      </w:pPr>
      <w:r>
        <w:rPr>
          <w:b/>
          <w:color w:val="14A6A1"/>
        </w:rPr>
        <w:t>1. Ask</w:t>
      </w:r>
      <w:r>
        <w:t xml:space="preserve"> — Ask a question in your own words and receive a clear, source-backed answer. No account is required.</w:t>
      </w:r>
    </w:p>
    <w:p>
      <w:pPr>
        <w:keepNext/>
      </w:pPr>
      <w:r>
        <w:rPr>
          <w:b/>
          <w:color w:val="14A6A1"/>
        </w:rPr>
        <w:t>2. Assess</w:t>
      </w:r>
      <w:r>
        <w:t xml:space="preserve"> — Tell us about your markets, business model, and areas of support. We organize the results in your Risk Map.</w:t>
      </w:r>
    </w:p>
    <w:p>
      <w:pPr>
        <w:keepNext/>
      </w:pPr>
      <w:r>
        <w:rPr>
          <w:b/>
          <w:color w:val="14A6A1"/>
        </w:rPr>
        <w:t>3. Decide</w:t>
      </w:r>
      <w:r>
        <w:t xml:space="preserve"> — See your priorities, deadlines, sources, and which matters you may handle internally or with professional support.</w:t>
      </w:r>
    </w:p>
    <w:p>
      <w:pPr>
        <w:keepNext/>
      </w:pPr>
      <w:r>
        <w:rPr>
          <w:b/>
          <w:color w:val="14A6A1"/>
        </w:rPr>
        <w:t>4. Match</w:t>
      </w:r>
      <w:r>
        <w:t xml:space="preserve"> — Compare your best anonymous provider matches based on genuine fit.</w:t>
      </w:r>
    </w:p>
    <w:p>
      <w:pPr>
        <w:keepNext/>
      </w:pPr>
      <w:r>
        <w:rPr>
          <w:b/>
          <w:color w:val="14A6A1"/>
        </w:rPr>
        <w:t>5. Act</w:t>
      </w:r>
      <w:r>
        <w:t xml:space="preserve"> — Choose and book a consultation. The provider’s identity is revealed, and only the information needed to process your request is shared.</w:t>
      </w:r>
    </w:p>
    <w:p>
      <w:r>
        <w:t>Equal CTAs: Ask a Question · Assess My Needs</w:t>
      </w:r>
    </w:p>
    <w:p>
      <w:r>
        <w:br w:type="page"/>
      </w:r>
    </w:p>
    <w:p>
      <w:pPr>
        <w:pStyle w:val="Heading1"/>
      </w:pPr>
      <w:r>
        <w:t>7. Areas of Support</w:t>
      </w:r>
    </w:p>
    <w:tbl>
      <w:tblPr>
        <w:tblW w:type="auto" w:w="0"/>
        <w:jc w:val="center"/>
        <w:tblLayout w:type="fixed"/>
        <w:tblLook w:firstColumn="1" w:firstRow="1" w:lastColumn="0" w:lastRow="0" w:noHBand="0" w:noVBand="1" w:val="04A0"/>
      </w:tblPr>
      <w:tblGrid>
        <w:gridCol w:w="9792"/>
      </w:tblGrid>
      <w:tr>
        <w:trPr>
          <w:cantSplit/>
        </w:trPr>
        <w:tc>
          <w:tcPr>
            <w:tcW w:type="dxa" w:w="9994"/>
            <w:shd w:fill="F2F4F5"/>
            <w:tcMar>
              <w:top w:w="90" w:type="dxa"/>
              <w:start w:w="110" w:type="dxa"/>
              <w:bottom w:w="90" w:type="dxa"/>
              <w:end w:w="110" w:type="dxa"/>
            </w:tcMar>
            <w:vAlign w:val="center"/>
          </w:tcPr>
          <w:p>
            <w:pPr>
              <w:pStyle w:val="CurrentBox"/>
            </w:pPr>
            <w:r>
              <w:rPr>
                <w:rFonts w:ascii="Aptos" w:hAnsi="Aptos"/>
                <w:b/>
                <w:color w:val="14A6A1"/>
                <w:sz w:val="16"/>
              </w:rPr>
              <w:t>CURRENT WEBSITE WORDING</w:t>
            </w:r>
          </w:p>
          <w:p>
            <w:pPr>
              <w:pStyle w:val="CurrentBox"/>
              <w:spacing w:after="40"/>
            </w:pPr>
            <w:r>
              <w:rPr>
                <w:rFonts w:ascii="Aptos" w:hAnsi="Aptos"/>
                <w:sz w:val="16"/>
              </w:rPr>
              <w:t>The original section uses “domains,” “active in,” “when this matters,” and “what we cover,” with limited country lists and several technical introductions.</w:t>
            </w:r>
          </w:p>
        </w:tc>
      </w:tr>
    </w:tbl>
    <w:p>
      <w:pPr>
        <w:spacing w:after="0"/>
      </w:pPr>
    </w:p>
    <w:tbl>
      <w:tblPr>
        <w:tblW w:type="auto" w:w="0"/>
        <w:jc w:val="center"/>
        <w:tblLayout w:type="fixed"/>
        <w:tblLook w:firstColumn="1" w:firstRow="1" w:lastColumn="0" w:lastRow="0" w:noHBand="0" w:noVBand="1" w:val="04A0"/>
      </w:tblPr>
      <w:tblGrid>
        <w:gridCol w:w="9792"/>
      </w:tblGrid>
      <w:tr>
        <w:trPr>
          <w:cantSplit/>
        </w:trPr>
        <w:tc>
          <w:tcPr>
            <w:tcW w:type="dxa" w:w="9994"/>
            <w:shd w:fill="E8F7F6"/>
            <w:tcMar>
              <w:top w:w="90" w:type="dxa"/>
              <w:start w:w="110" w:type="dxa"/>
              <w:bottom w:w="90" w:type="dxa"/>
              <w:end w:w="110" w:type="dxa"/>
            </w:tcMar>
            <w:vAlign w:val="center"/>
          </w:tcPr>
          <w:p>
            <w:pPr>
              <w:pStyle w:val="ApprovedBox"/>
            </w:pPr>
            <w:r>
              <w:rPr>
                <w:rFonts w:ascii="Aptos" w:hAnsi="Aptos"/>
                <w:b/>
                <w:color w:val="14A6A1"/>
                <w:sz w:val="16"/>
              </w:rPr>
              <w:t>APPROVED REPLACEMENT</w:t>
            </w:r>
          </w:p>
          <w:p>
            <w:pPr>
              <w:pStyle w:val="ApprovedBox"/>
              <w:spacing w:after="40"/>
            </w:pPr>
            <w:r>
              <w:rPr>
                <w:rFonts w:ascii="Aptos" w:hAnsi="Aptos"/>
                <w:sz w:val="16"/>
              </w:rPr>
              <w:t>EYEBROW</w:t>
            </w:r>
          </w:p>
          <w:p>
            <w:pPr>
              <w:pStyle w:val="ApprovedBox"/>
              <w:spacing w:after="40"/>
            </w:pPr>
            <w:r>
              <w:rPr>
                <w:rFonts w:ascii="Aptos" w:hAnsi="Aptos"/>
                <w:sz w:val="16"/>
              </w:rPr>
              <w:t>Areas we cover</w:t>
            </w:r>
          </w:p>
          <w:p>
            <w:pPr>
              <w:pStyle w:val="ApprovedBox"/>
              <w:spacing w:after="40"/>
            </w:pPr>
            <w:r>
              <w:rPr>
                <w:rFonts w:ascii="Aptos" w:hAnsi="Aptos"/>
                <w:sz w:val="16"/>
              </w:rPr>
            </w:r>
          </w:p>
          <w:p>
            <w:pPr>
              <w:pStyle w:val="ApprovedBox"/>
              <w:spacing w:after="40"/>
            </w:pPr>
            <w:r>
              <w:rPr>
                <w:rFonts w:ascii="Aptos" w:hAnsi="Aptos"/>
                <w:sz w:val="16"/>
              </w:rPr>
              <w:t>HEADLINE</w:t>
            </w:r>
          </w:p>
          <w:p>
            <w:pPr>
              <w:pStyle w:val="ApprovedBox"/>
              <w:spacing w:after="40"/>
            </w:pPr>
            <w:r>
              <w:rPr>
                <w:rFonts w:ascii="Aptos" w:hAnsi="Aptos"/>
                <w:sz w:val="16"/>
              </w:rPr>
              <w:t>Different requirements. One clear view.</w:t>
            </w:r>
          </w:p>
          <w:p>
            <w:pPr>
              <w:pStyle w:val="ApprovedBox"/>
              <w:spacing w:after="40"/>
            </w:pPr>
            <w:r>
              <w:rPr>
                <w:rFonts w:ascii="Aptos" w:hAnsi="Aptos"/>
                <w:sz w:val="16"/>
              </w:rPr>
            </w:r>
          </w:p>
          <w:p>
            <w:pPr>
              <w:pStyle w:val="ApprovedBox"/>
              <w:spacing w:after="40"/>
            </w:pPr>
            <w:r>
              <w:rPr>
                <w:rFonts w:ascii="Aptos" w:hAnsi="Aptos"/>
                <w:sz w:val="16"/>
              </w:rPr>
              <w:t>SUBTITLE</w:t>
            </w:r>
          </w:p>
          <w:p>
            <w:pPr>
              <w:pStyle w:val="ApprovedBox"/>
              <w:spacing w:after="40"/>
            </w:pPr>
            <w:r>
              <w:rPr>
                <w:rFonts w:ascii="Aptos" w:hAnsi="Aptos"/>
                <w:sz w:val="16"/>
              </w:rPr>
              <w:t>From tax and product requirements to privacy, customs, company filings, and legal support, CompliHub360 brings your needs together and connects you with the right professionals across markets.</w:t>
            </w:r>
          </w:p>
          <w:p>
            <w:pPr>
              <w:pStyle w:val="ApprovedBox"/>
              <w:spacing w:after="40"/>
            </w:pPr>
            <w:r>
              <w:rPr>
                <w:rFonts w:ascii="Aptos" w:hAnsi="Aptos"/>
                <w:sz w:val="16"/>
              </w:rPr>
            </w:r>
          </w:p>
          <w:p>
            <w:pPr>
              <w:pStyle w:val="ApprovedBox"/>
              <w:spacing w:after="40"/>
            </w:pPr>
            <w:r>
              <w:rPr>
                <w:rFonts w:ascii="Aptos" w:hAnsi="Aptos"/>
                <w:sz w:val="16"/>
              </w:rPr>
              <w:t>FIELD LABELS</w:t>
            </w:r>
          </w:p>
          <w:p>
            <w:pPr>
              <w:pStyle w:val="ApprovedBox"/>
              <w:spacing w:after="40"/>
            </w:pPr>
            <w:r>
              <w:rPr>
                <w:rFonts w:ascii="Aptos" w:hAnsi="Aptos"/>
                <w:sz w:val="16"/>
              </w:rPr>
              <w:t>Area · Available in · You may need this when · Support available · Learn more</w:t>
            </w:r>
          </w:p>
        </w:tc>
      </w:tr>
    </w:tbl>
    <w:p>
      <w:pPr>
        <w:spacing w:after="0"/>
      </w:pPr>
    </w:p>
    <w:p>
      <w:pPr>
        <w:pStyle w:val="Heading2"/>
      </w:pPr>
      <w:r>
        <w:t>Tax &amp; VAT</w:t>
      </w:r>
    </w:p>
    <w:p>
      <w:r>
        <w:rPr>
          <w:b/>
        </w:rPr>
        <w:t xml:space="preserve">Available in: </w:t>
      </w:r>
      <w:r>
        <w:t>Germany · United Kingdom · Netherlands · France · Italy · Spain</w:t>
      </w:r>
    </w:p>
    <w:p>
      <w:r>
        <w:t>Understand which registrations, returns, and reporting requirements may apply based on where your business is established, where goods are stored, what you sell, and who your customers are.</w:t>
      </w:r>
    </w:p>
    <w:p>
      <w:r>
        <w:rPr>
          <w:b/>
        </w:rPr>
        <w:t>You may need this when:</w:t>
      </w:r>
    </w:p>
    <w:p>
      <w:pPr>
        <w:pStyle w:val="ListBullet2"/>
      </w:pPr>
      <w:r>
        <w:t>You sell goods or services in another country.</w:t>
      </w:r>
    </w:p>
    <w:p>
      <w:pPr>
        <w:pStyle w:val="ListBullet2"/>
      </w:pPr>
      <w:r>
        <w:t>You store inventory outside your home country.</w:t>
      </w:r>
    </w:p>
    <w:p>
      <w:pPr>
        <w:pStyle w:val="ListBullet2"/>
      </w:pPr>
      <w:r>
        <w:t>You are entering a new market.</w:t>
      </w:r>
    </w:p>
    <w:p>
      <w:r>
        <w:rPr>
          <w:b/>
        </w:rPr>
        <w:t>Support available:</w:t>
      </w:r>
    </w:p>
    <w:p>
      <w:pPr>
        <w:pStyle w:val="ListBullet2"/>
      </w:pPr>
      <w:r>
        <w:t>Country-specific VAT registrations</w:t>
      </w:r>
    </w:p>
    <w:p>
      <w:pPr>
        <w:pStyle w:val="ListBullet2"/>
      </w:pPr>
      <w:r>
        <w:t>VAT returns and reporting</w:t>
      </w:r>
    </w:p>
    <w:p>
      <w:pPr>
        <w:pStyle w:val="ListBullet2"/>
      </w:pPr>
      <w:r>
        <w:t>OSS and IOSS registration and filings</w:t>
      </w:r>
    </w:p>
    <w:p>
      <w:pPr>
        <w:pStyle w:val="ListBullet2"/>
      </w:pPr>
      <w:r>
        <w:t>Threshold monitoring</w:t>
      </w:r>
    </w:p>
    <w:p>
      <w:pPr>
        <w:pStyle w:val="ListBullet2"/>
      </w:pPr>
      <w:r>
        <w:t>Intra-EU transactions</w:t>
      </w:r>
    </w:p>
    <w:p>
      <w:pPr>
        <w:pStyle w:val="ListBullet2"/>
      </w:pPr>
      <w:r>
        <w:t>Reverse-charge requirements</w:t>
      </w:r>
    </w:p>
    <w:p>
      <w:pPr>
        <w:pStyle w:val="Heading2"/>
      </w:pPr>
      <w:r>
        <w:t>EPR &amp; Packaging</w:t>
      </w:r>
    </w:p>
    <w:p>
      <w:r>
        <w:rPr>
          <w:b/>
        </w:rPr>
        <w:t xml:space="preserve">Available in: </w:t>
      </w:r>
      <w:r>
        <w:t>Germany · France · Italy · Spain · United Kingdom · Netherlands</w:t>
      </w:r>
    </w:p>
    <w:p>
      <w:r>
        <w:t>Sell physical products online? EPR and packaging requirements may apply—even if you did not manufacture the products. Find out which registrations and other steps may be required in each market.</w:t>
        <w:br/>
        <w:br/>
        <w:t>Extended Producer Responsibility (EPR) and packaging rules can apply when you sell or ship physical products into a country, including through an online marketplace or your own website. Depending on the market and product category, you may need to register, report volumes, contribute to recycling costs, meet take-back obligations, or appoint an authorized representative.</w:t>
      </w:r>
    </w:p>
    <w:p>
      <w:r>
        <w:rPr>
          <w:b/>
        </w:rPr>
        <w:t>You may need this when:</w:t>
      </w:r>
    </w:p>
    <w:p>
      <w:pPr>
        <w:pStyle w:val="ListBullet2"/>
      </w:pPr>
      <w:r>
        <w:t>You sell or ship physical products through a marketplace, your own website, or another sales channel.</w:t>
      </w:r>
    </w:p>
    <w:p>
      <w:r>
        <w:rPr>
          <w:b/>
        </w:rPr>
        <w:t>Support available:</w:t>
      </w:r>
    </w:p>
    <w:p>
      <w:pPr>
        <w:pStyle w:val="ListBullet2"/>
      </w:pPr>
      <w:r>
        <w:t>Packaging EPR, including LUCID</w:t>
      </w:r>
    </w:p>
    <w:p>
      <w:pPr>
        <w:pStyle w:val="ListBullet2"/>
      </w:pPr>
      <w:r>
        <w:t>WEEE and battery requirements</w:t>
      </w:r>
    </w:p>
    <w:p>
      <w:pPr>
        <w:pStyle w:val="ListBullet2"/>
      </w:pPr>
      <w:r>
        <w:t>Volume reporting</w:t>
      </w:r>
    </w:p>
    <w:p>
      <w:pPr>
        <w:pStyle w:val="ListBullet2"/>
      </w:pPr>
      <w:r>
        <w:t>Take-back and recycling obligations</w:t>
      </w:r>
    </w:p>
    <w:p>
      <w:pPr>
        <w:pStyle w:val="ListBullet2"/>
      </w:pPr>
      <w:r>
        <w:t>Eco-modulation fees</w:t>
      </w:r>
    </w:p>
    <w:p>
      <w:pPr>
        <w:pStyle w:val="ListBullet2"/>
      </w:pPr>
      <w:r>
        <w:t>Authorized representative services</w:t>
      </w:r>
    </w:p>
    <w:p>
      <w:r>
        <w:rPr>
          <w:b/>
        </w:rPr>
        <w:t>Tooltips:</w:t>
      </w:r>
    </w:p>
    <w:p>
      <w:pPr>
        <w:pStyle w:val="ListBullet2"/>
      </w:pPr>
      <w:r>
        <w:t>EPR — Rules that place responsibility for a product’s end-of-life environmental impact on certain businesses.</w:t>
      </w:r>
    </w:p>
    <w:p>
      <w:pPr>
        <w:pStyle w:val="ListBullet2"/>
      </w:pPr>
      <w:r>
        <w:t>WEEE — Rules covering waste electrical and electronic equipment.</w:t>
      </w:r>
    </w:p>
    <w:p>
      <w:pPr>
        <w:pStyle w:val="ListBullet2"/>
      </w:pPr>
      <w:r>
        <w:t>Eco-modulation fees — Fees adjusted according to environmental characteristics such as recyclability or material use.</w:t>
      </w:r>
    </w:p>
    <w:p>
      <w:pPr>
        <w:pStyle w:val="Heading2"/>
      </w:pPr>
      <w:r>
        <w:t>Data &amp; Privacy</w:t>
      </w:r>
    </w:p>
    <w:p>
      <w:r>
        <w:rPr>
          <w:b/>
        </w:rPr>
        <w:t xml:space="preserve">Available in: </w:t>
      </w:r>
      <w:r>
        <w:t>Available globally: EU/EEA · UK · US · Canada · Latin America · Asia-Pacific · Middle East &amp; Africa</w:t>
      </w:r>
    </w:p>
    <w:p>
      <w:r>
        <w:t>Understand what personal data your business collects, why you are allowed to use it, and what documentation or safeguards may be required. Privacy requirements differ between countries, U.S. states, industries, and activities. They can affect how you collect, use, store, share, transfer, and protect personal data.</w:t>
      </w:r>
    </w:p>
    <w:p>
      <w:r>
        <w:rPr>
          <w:b/>
        </w:rPr>
        <w:t>You may need this when:</w:t>
      </w:r>
    </w:p>
    <w:p>
      <w:pPr>
        <w:pStyle w:val="ListBullet2"/>
      </w:pPr>
      <w:r>
        <w:t>You handle information connected to customers, employees, website visitors, app users, or other individuals in one or more markets.</w:t>
      </w:r>
    </w:p>
    <w:p>
      <w:r>
        <w:rPr>
          <w:b/>
        </w:rPr>
        <w:t>Support available:</w:t>
      </w:r>
    </w:p>
    <w:p>
      <w:pPr>
        <w:pStyle w:val="ListBullet2"/>
      </w:pPr>
      <w:r>
        <w:t>Privacy assessments for countries and U.S. states</w:t>
      </w:r>
    </w:p>
    <w:p>
      <w:pPr>
        <w:pStyle w:val="ListBullet2"/>
      </w:pPr>
      <w:r>
        <w:t>DPIAs and similar risk assessments</w:t>
      </w:r>
    </w:p>
    <w:p>
      <w:pPr>
        <w:pStyle w:val="ListBullet2"/>
      </w:pPr>
      <w:r>
        <w:t>Records of Processing Activities (RoPA)</w:t>
      </w:r>
    </w:p>
    <w:p>
      <w:pPr>
        <w:pStyle w:val="ListBullet2"/>
      </w:pPr>
      <w:r>
        <w:t>Privacy notices and data processing agreements</w:t>
      </w:r>
    </w:p>
    <w:p>
      <w:pPr>
        <w:pStyle w:val="ListBullet2"/>
      </w:pPr>
      <w:r>
        <w:t>International transfer safeguards</w:t>
      </w:r>
    </w:p>
    <w:p>
      <w:pPr>
        <w:pStyle w:val="ListBullet2"/>
      </w:pPr>
      <w:r>
        <w:t>Individual rights requests</w:t>
      </w:r>
    </w:p>
    <w:p>
      <w:pPr>
        <w:pStyle w:val="ListBullet2"/>
      </w:pPr>
      <w:r>
        <w:t>Breach assessment and notification</w:t>
      </w:r>
    </w:p>
    <w:p>
      <w:r>
        <w:rPr>
          <w:b/>
        </w:rPr>
        <w:t>Tooltips:</w:t>
      </w:r>
    </w:p>
    <w:p>
      <w:pPr>
        <w:pStyle w:val="ListBullet2"/>
      </w:pPr>
      <w:r>
        <w:t>Personal data — Information relating to an identified or identifiable individual.</w:t>
      </w:r>
    </w:p>
    <w:p>
      <w:pPr>
        <w:pStyle w:val="ListBullet2"/>
      </w:pPr>
      <w:r>
        <w:t>GDPR — The European Union’s General Data Protection Regulation.</w:t>
      </w:r>
    </w:p>
    <w:p>
      <w:pPr>
        <w:pStyle w:val="ListBullet2"/>
      </w:pPr>
      <w:r>
        <w:t>UK GDPR — The United Kingdom’s data-protection framework based on the retained GDPR.</w:t>
      </w:r>
    </w:p>
    <w:p>
      <w:pPr>
        <w:pStyle w:val="ListBullet2"/>
      </w:pPr>
      <w:r>
        <w:t>DPIA — A Data Protection Impact Assessment used to evaluate higher-risk processing.</w:t>
      </w:r>
    </w:p>
    <w:p>
      <w:pPr>
        <w:pStyle w:val="ListBullet2"/>
      </w:pPr>
      <w:r>
        <w:t>RoPA — A Record of Processing Activities documenting how an organization handles personal data.</w:t>
      </w:r>
    </w:p>
    <w:tbl>
      <w:tblPr>
        <w:tblW w:type="auto" w:w="0"/>
        <w:jc w:val="center"/>
        <w:tblLayout w:type="fixed"/>
        <w:tblLook w:firstColumn="1" w:firstRow="1" w:lastColumn="0" w:lastRow="0" w:noHBand="0" w:noVBand="1" w:val="04A0"/>
      </w:tblPr>
      <w:tblGrid>
        <w:gridCol w:w="9792"/>
      </w:tblGrid>
      <w:tr>
        <w:trPr>
          <w:cantSplit/>
        </w:trPr>
        <w:tc>
          <w:tcPr>
            <w:tcW w:type="dxa" w:w="9994"/>
            <w:shd w:fill="EEF4F7"/>
            <w:tcMar>
              <w:top w:w="90" w:type="dxa"/>
              <w:start w:w="110" w:type="dxa"/>
              <w:bottom w:w="90" w:type="dxa"/>
              <w:end w:w="110" w:type="dxa"/>
            </w:tcMar>
            <w:vAlign w:val="center"/>
          </w:tcPr>
          <w:p>
            <w:pPr>
              <w:pStyle w:val="DevNote"/>
            </w:pPr>
            <w:r>
              <w:rPr>
                <w:rFonts w:ascii="Aptos" w:hAnsi="Aptos"/>
                <w:b/>
                <w:color w:val="14A6A1"/>
                <w:sz w:val="16"/>
              </w:rPr>
              <w:t>DEVELOPER INSTRUCTION</w:t>
            </w:r>
          </w:p>
          <w:p>
            <w:pPr>
              <w:pStyle w:val="DevNote"/>
              <w:spacing w:after="40"/>
            </w:pPr>
            <w:r>
              <w:rPr>
                <w:rFonts w:ascii="Aptos" w:hAnsi="Aptos"/>
                <w:sz w:val="16"/>
              </w:rPr>
              <w:t>Use a two-layer assessment: a common privacy foundation followed by jurisdiction-specific rules. Do not describe Germany as the “hardest” privacy jurisdiction.</w:t>
            </w:r>
          </w:p>
        </w:tc>
      </w:tr>
    </w:tbl>
    <w:p>
      <w:pPr>
        <w:spacing w:after="0"/>
      </w:pPr>
    </w:p>
    <w:p>
      <w:pPr>
        <w:pStyle w:val="Heading2"/>
      </w:pPr>
      <w:r>
        <w:t>Marketing Compliance</w:t>
      </w:r>
    </w:p>
    <w:p>
      <w:r>
        <w:rPr>
          <w:b/>
        </w:rPr>
        <w:t xml:space="preserve">Available in: </w:t>
      </w:r>
      <w:r>
        <w:t>Available globally: EU/EEA · UK · US · Canada · Latin America · Asia-Pacific · Middle East &amp; Africa</w:t>
      </w:r>
    </w:p>
    <w:p>
      <w:r>
        <w:t>Understand the rules that may affect how you reach customers, use cookies and tracking technologies, collect consent, and make advertising claims.</w:t>
      </w:r>
    </w:p>
    <w:p>
      <w:r>
        <w:rPr>
          <w:b/>
        </w:rPr>
        <w:t>You may need this when:</w:t>
      </w:r>
    </w:p>
    <w:p>
      <w:pPr>
        <w:pStyle w:val="ListBullet2"/>
      </w:pPr>
      <w:r>
        <w:t>You use analytics or cookies, send marketing messages, advertise products or services, or work with influencers and affiliates.</w:t>
      </w:r>
    </w:p>
    <w:p>
      <w:r>
        <w:rPr>
          <w:b/>
        </w:rPr>
        <w:t>Support available:</w:t>
      </w:r>
    </w:p>
    <w:p>
      <w:pPr>
        <w:pStyle w:val="ListBullet2"/>
      </w:pPr>
      <w:r>
        <w:t>Cookie banners and tracking reviews</w:t>
      </w:r>
    </w:p>
    <w:p>
      <w:pPr>
        <w:pStyle w:val="ListBullet2"/>
      </w:pPr>
      <w:r>
        <w:t>Consent and preference management</w:t>
      </w:r>
    </w:p>
    <w:p>
      <w:pPr>
        <w:pStyle w:val="ListBullet2"/>
      </w:pPr>
      <w:r>
        <w:t>Email, SMS, phone, and direct-message marketing</w:t>
      </w:r>
    </w:p>
    <w:p>
      <w:pPr>
        <w:pStyle w:val="ListBullet2"/>
      </w:pPr>
      <w:r>
        <w:t>Advertising claims and promotional disclosures</w:t>
      </w:r>
    </w:p>
    <w:p>
      <w:pPr>
        <w:pStyle w:val="ListBullet2"/>
      </w:pPr>
      <w:r>
        <w:t>Influencer and affiliate disclosures</w:t>
      </w:r>
    </w:p>
    <w:p>
      <w:pPr>
        <w:pStyle w:val="ListBullet2"/>
      </w:pPr>
      <w:r>
        <w:t>User-choice and dark-pattern reviews</w:t>
      </w:r>
    </w:p>
    <w:p>
      <w:pPr>
        <w:pStyle w:val="ListBullet2"/>
      </w:pPr>
      <w:r>
        <w:t>Unsubscribe and suppression processes</w:t>
      </w:r>
    </w:p>
    <w:p>
      <w:r>
        <w:rPr>
          <w:b/>
        </w:rPr>
        <w:t>Tooltips:</w:t>
      </w:r>
    </w:p>
    <w:p>
      <w:pPr>
        <w:pStyle w:val="ListBullet2"/>
      </w:pPr>
      <w:r>
        <w:t>Consent — A valid, informed, and freely given agreement where required by applicable law.</w:t>
      </w:r>
    </w:p>
    <w:p>
      <w:pPr>
        <w:pStyle w:val="ListBullet2"/>
      </w:pPr>
      <w:r>
        <w:t>Suppression list — A record used to prevent marketing messages from being sent to people who opted out.</w:t>
      </w:r>
    </w:p>
    <w:p>
      <w:pPr>
        <w:pStyle w:val="ListBullet2"/>
      </w:pPr>
      <w:r>
        <w:t>Dark pattern — A design practice that manipulates or obstructs a user’s choices.</w:t>
      </w:r>
    </w:p>
    <w:p>
      <w:pPr>
        <w:pStyle w:val="ListBullet2"/>
      </w:pPr>
      <w:r>
        <w:t>Tracking technology — Technology such as cookies, pixels, or software development kits used to observe user activity.</w:t>
      </w:r>
    </w:p>
    <w:tbl>
      <w:tblPr>
        <w:tblW w:type="auto" w:w="0"/>
        <w:jc w:val="center"/>
        <w:tblLayout w:type="fixed"/>
        <w:tblLook w:firstColumn="1" w:firstRow="1" w:lastColumn="0" w:lastRow="0" w:noHBand="0" w:noVBand="1" w:val="04A0"/>
      </w:tblPr>
      <w:tblGrid>
        <w:gridCol w:w="9792"/>
      </w:tblGrid>
      <w:tr>
        <w:trPr>
          <w:cantSplit/>
        </w:trPr>
        <w:tc>
          <w:tcPr>
            <w:tcW w:type="dxa" w:w="9994"/>
            <w:shd w:fill="EEF4F7"/>
            <w:tcMar>
              <w:top w:w="90" w:type="dxa"/>
              <w:start w:w="110" w:type="dxa"/>
              <w:bottom w:w="90" w:type="dxa"/>
              <w:end w:w="110" w:type="dxa"/>
            </w:tcMar>
            <w:vAlign w:val="center"/>
          </w:tcPr>
          <w:p>
            <w:pPr>
              <w:pStyle w:val="DevNote"/>
            </w:pPr>
            <w:r>
              <w:rPr>
                <w:rFonts w:ascii="Aptos" w:hAnsi="Aptos"/>
                <w:b/>
                <w:color w:val="14A6A1"/>
                <w:sz w:val="16"/>
              </w:rPr>
              <w:t>DEVELOPER INSTRUCTION</w:t>
            </w:r>
          </w:p>
          <w:p>
            <w:pPr>
              <w:pStyle w:val="DevNote"/>
              <w:spacing w:after="40"/>
            </w:pPr>
            <w:r>
              <w:rPr>
                <w:rFonts w:ascii="Aptos" w:hAnsi="Aptos"/>
                <w:sz w:val="16"/>
              </w:rPr>
              <w:t>Use a common marketing-compliance foundation followed by jurisdiction-specific rules.</w:t>
            </w:r>
          </w:p>
        </w:tc>
      </w:tr>
    </w:tbl>
    <w:p>
      <w:pPr>
        <w:spacing w:after="0"/>
      </w:pPr>
    </w:p>
    <w:p>
      <w:pPr>
        <w:pStyle w:val="Heading2"/>
      </w:pPr>
      <w:r>
        <w:t>Company Setup &amp; Filings</w:t>
      </w:r>
    </w:p>
    <w:p>
      <w:r>
        <w:rPr>
          <w:b/>
        </w:rPr>
        <w:t xml:space="preserve">Available in: </w:t>
      </w:r>
      <w:r>
        <w:t>Available globally</w:t>
      </w:r>
    </w:p>
    <w:p>
      <w:r>
        <w:t>Understand what may be required to establish, register, and maintain a business. Requirements depend on the country or local jurisdiction, entity type, ownership, and business activity.</w:t>
      </w:r>
    </w:p>
    <w:p>
      <w:r>
        <w:rPr>
          <w:b/>
        </w:rPr>
        <w:t>You may need this when:</w:t>
      </w:r>
    </w:p>
    <w:p>
      <w:pPr>
        <w:pStyle w:val="ListBullet2"/>
      </w:pPr>
      <w:r>
        <w:t>You are starting a company, entering a new market, opening a branch, changing ownership, or managing ongoing company filings.</w:t>
      </w:r>
    </w:p>
    <w:p>
      <w:r>
        <w:rPr>
          <w:b/>
        </w:rPr>
        <w:t>Support available:</w:t>
      </w:r>
    </w:p>
    <w:p>
      <w:pPr>
        <w:pStyle w:val="ListBullet2"/>
      </w:pPr>
      <w:r>
        <w:t>Company formation and structure</w:t>
      </w:r>
    </w:p>
    <w:p>
      <w:pPr>
        <w:pStyle w:val="ListBullet2"/>
      </w:pPr>
      <w:r>
        <w:t>Foreign qualification and local registration</w:t>
      </w:r>
    </w:p>
    <w:p>
      <w:pPr>
        <w:pStyle w:val="ListBullet2"/>
      </w:pPr>
      <w:r>
        <w:t>Annual reports and accounts</w:t>
      </w:r>
    </w:p>
    <w:p>
      <w:pPr>
        <w:pStyle w:val="ListBullet2"/>
      </w:pPr>
      <w:r>
        <w:t>Beneficial ownership and transparency filings</w:t>
      </w:r>
    </w:p>
    <w:p>
      <w:pPr>
        <w:pStyle w:val="ListBullet2"/>
      </w:pPr>
      <w:r>
        <w:t>Director and officer updates</w:t>
      </w:r>
    </w:p>
    <w:p>
      <w:pPr>
        <w:pStyle w:val="ListBullet2"/>
      </w:pPr>
      <w:r>
        <w:t>Registered agent, registered office, and local representative services</w:t>
      </w:r>
    </w:p>
    <w:p>
      <w:pPr>
        <w:pStyle w:val="ListBullet2"/>
      </w:pPr>
      <w:r>
        <w:t>Branch, subsidiary, and group structures</w:t>
      </w:r>
    </w:p>
    <w:p>
      <w:pPr>
        <w:pStyle w:val="ListBullet2"/>
      </w:pPr>
      <w:r>
        <w:t>Restructuring and closure</w:t>
      </w:r>
    </w:p>
    <w:p>
      <w:pPr>
        <w:pStyle w:val="ListBullet2"/>
      </w:pPr>
      <w:r>
        <w:t>Ongoing deadlines and entity maintenance</w:t>
      </w:r>
    </w:p>
    <w:p>
      <w:r>
        <w:rPr>
          <w:b/>
        </w:rPr>
        <w:t>Tooltips:</w:t>
      </w:r>
    </w:p>
    <w:p>
      <w:pPr>
        <w:pStyle w:val="ListBullet2"/>
      </w:pPr>
      <w:r>
        <w:t>Beneficial owner — An individual who ultimately owns or controls a company.</w:t>
      </w:r>
    </w:p>
    <w:p>
      <w:pPr>
        <w:pStyle w:val="ListBullet2"/>
      </w:pPr>
      <w:r>
        <w:t>Foreign qualification — Registering an existing company to conduct business in another jurisdiction.</w:t>
      </w:r>
    </w:p>
    <w:p>
      <w:pPr>
        <w:pStyle w:val="ListBullet2"/>
      </w:pPr>
      <w:r>
        <w:t>Registered agent or local representative — A person or organization officially appointed for specified local functions.</w:t>
      </w:r>
    </w:p>
    <w:p>
      <w:pPr>
        <w:pStyle w:val="ListBullet2"/>
      </w:pPr>
      <w:r>
        <w:t>Branch or subsidiary — Different ways of operating in another market, with different legal and tax consequences.</w:t>
      </w:r>
    </w:p>
    <w:tbl>
      <w:tblPr>
        <w:tblW w:type="auto" w:w="0"/>
        <w:jc w:val="center"/>
        <w:tblLayout w:type="fixed"/>
        <w:tblLook w:firstColumn="1" w:firstRow="1" w:lastColumn="0" w:lastRow="0" w:noHBand="0" w:noVBand="1" w:val="04A0"/>
      </w:tblPr>
      <w:tblGrid>
        <w:gridCol w:w="9792"/>
      </w:tblGrid>
      <w:tr>
        <w:trPr>
          <w:cantSplit/>
        </w:trPr>
        <w:tc>
          <w:tcPr>
            <w:tcW w:type="dxa" w:w="9994"/>
            <w:shd w:fill="EEF4F7"/>
            <w:tcMar>
              <w:top w:w="90" w:type="dxa"/>
              <w:start w:w="110" w:type="dxa"/>
              <w:bottom w:w="90" w:type="dxa"/>
              <w:end w:w="110" w:type="dxa"/>
            </w:tcMar>
            <w:vAlign w:val="center"/>
          </w:tcPr>
          <w:p>
            <w:pPr>
              <w:pStyle w:val="DevNote"/>
            </w:pPr>
            <w:r>
              <w:rPr>
                <w:rFonts w:ascii="Aptos" w:hAnsi="Aptos"/>
                <w:b/>
                <w:color w:val="14A6A1"/>
                <w:sz w:val="16"/>
              </w:rPr>
              <w:t>DEVELOPER INSTRUCTION</w:t>
            </w:r>
          </w:p>
          <w:p>
            <w:pPr>
              <w:pStyle w:val="DevNote"/>
              <w:spacing w:after="40"/>
            </w:pPr>
            <w:r>
              <w:rPr>
                <w:rFonts w:ascii="Aptos" w:hAnsi="Aptos"/>
                <w:sz w:val="16"/>
              </w:rPr>
              <w:t>Route permanent-establishment and corporate-tax questions to an appropriate tax professional.</w:t>
            </w:r>
          </w:p>
        </w:tc>
      </w:tr>
    </w:tbl>
    <w:p>
      <w:pPr>
        <w:spacing w:after="0"/>
      </w:pPr>
    </w:p>
    <w:p>
      <w:pPr>
        <w:pStyle w:val="Heading2"/>
      </w:pPr>
      <w:r>
        <w:t>Product Compliance</w:t>
      </w:r>
    </w:p>
    <w:p>
      <w:r>
        <w:rPr>
          <w:b/>
        </w:rPr>
        <w:t xml:space="preserve">Available in: </w:t>
      </w:r>
      <w:r>
        <w:t>Available globally</w:t>
      </w:r>
    </w:p>
    <w:p>
      <w:r>
        <w:t>Understand what your product may need before it can be legally and safely sold. Requirements can include testing, certification, labeling, documentation, and local representation. They depend on the product, destination, intended use, customer group, and your role in the supply chain.</w:t>
      </w:r>
    </w:p>
    <w:p>
      <w:r>
        <w:rPr>
          <w:b/>
        </w:rPr>
        <w:t>You may need this when:</w:t>
      </w:r>
    </w:p>
    <w:p>
      <w:pPr>
        <w:pStyle w:val="ListBullet2"/>
      </w:pPr>
      <w:r>
        <w:t>You manufacture, import, distribute, or sell a physical product.</w:t>
      </w:r>
    </w:p>
    <w:p>
      <w:r>
        <w:rPr>
          <w:b/>
        </w:rPr>
        <w:t>Support available:</w:t>
      </w:r>
    </w:p>
    <w:p>
      <w:pPr>
        <w:pStyle w:val="ListBullet2"/>
      </w:pPr>
      <w:r>
        <w:t>Product classification and applicable standards</w:t>
      </w:r>
    </w:p>
    <w:p>
      <w:pPr>
        <w:pStyle w:val="ListBullet2"/>
      </w:pPr>
      <w:r>
        <w:t>General Product Safety Regulation (GPSR)</w:t>
      </w:r>
    </w:p>
    <w:p>
      <w:pPr>
        <w:pStyle w:val="ListBullet2"/>
      </w:pPr>
      <w:r>
        <w:t>Testing, certification, and conformity assessment</w:t>
      </w:r>
    </w:p>
    <w:p>
      <w:pPr>
        <w:pStyle w:val="ListBullet2"/>
      </w:pPr>
      <w:r>
        <w:t>CE, UKCA, and other market markings</w:t>
      </w:r>
    </w:p>
    <w:p>
      <w:pPr>
        <w:pStyle w:val="ListBullet2"/>
      </w:pPr>
      <w:r>
        <w:t>Labels, warnings, and instructions</w:t>
      </w:r>
    </w:p>
    <w:p>
      <w:pPr>
        <w:pStyle w:val="ListBullet2"/>
      </w:pPr>
      <w:r>
        <w:t>Technical documentation and retention</w:t>
      </w:r>
    </w:p>
    <w:p>
      <w:pPr>
        <w:pStyle w:val="ListBullet2"/>
      </w:pPr>
      <w:r>
        <w:t>Responsible person, authorized representative, or local representative services</w:t>
      </w:r>
    </w:p>
    <w:p>
      <w:pPr>
        <w:pStyle w:val="ListBullet2"/>
      </w:pPr>
      <w:r>
        <w:t>Incident reporting, corrective action, and recalls</w:t>
      </w:r>
    </w:p>
    <w:p>
      <w:r>
        <w:rPr>
          <w:b/>
        </w:rPr>
        <w:t>Tooltips:</w:t>
      </w:r>
    </w:p>
    <w:p>
      <w:pPr>
        <w:pStyle w:val="ListBullet2"/>
      </w:pPr>
      <w:r>
        <w:t>Placed on the market — The first time a product is made available in a particular market.</w:t>
      </w:r>
    </w:p>
    <w:p>
      <w:pPr>
        <w:pStyle w:val="ListBullet2"/>
      </w:pPr>
      <w:r>
        <w:t>Conformity assessment — The process used to show that a product meets applicable requirements.</w:t>
      </w:r>
    </w:p>
    <w:p>
      <w:pPr>
        <w:pStyle w:val="ListBullet2"/>
      </w:pPr>
      <w:r>
        <w:t>CE marking — A marking used for certain products covered by harmonized EU requirements.</w:t>
      </w:r>
    </w:p>
    <w:p>
      <w:pPr>
        <w:pStyle w:val="ListBullet2"/>
      </w:pPr>
      <w:r>
        <w:t>Technical documentation — Records demonstrating how a product meets applicable requirements.</w:t>
      </w:r>
    </w:p>
    <w:p>
      <w:pPr>
        <w:pStyle w:val="ListBullet2"/>
      </w:pPr>
      <w:r>
        <w:t>Responsible person or authorized representative — A locally established party performing defined regulatory responsibilities where required.</w:t>
      </w:r>
    </w:p>
    <w:tbl>
      <w:tblPr>
        <w:tblW w:type="auto" w:w="0"/>
        <w:jc w:val="center"/>
        <w:tblLayout w:type="fixed"/>
        <w:tblLook w:firstColumn="1" w:firstRow="1" w:lastColumn="0" w:lastRow="0" w:noHBand="0" w:noVBand="1" w:val="04A0"/>
      </w:tblPr>
      <w:tblGrid>
        <w:gridCol w:w="9792"/>
      </w:tblGrid>
      <w:tr>
        <w:trPr>
          <w:cantSplit/>
        </w:trPr>
        <w:tc>
          <w:tcPr>
            <w:tcW w:type="dxa" w:w="9994"/>
            <w:shd w:fill="EEF4F7"/>
            <w:tcMar>
              <w:top w:w="90" w:type="dxa"/>
              <w:start w:w="110" w:type="dxa"/>
              <w:bottom w:w="90" w:type="dxa"/>
              <w:end w:w="110" w:type="dxa"/>
            </w:tcMar>
            <w:vAlign w:val="center"/>
          </w:tcPr>
          <w:p>
            <w:pPr>
              <w:pStyle w:val="DevNote"/>
            </w:pPr>
            <w:r>
              <w:rPr>
                <w:rFonts w:ascii="Aptos" w:hAnsi="Aptos"/>
                <w:b/>
                <w:color w:val="14A6A1"/>
                <w:sz w:val="16"/>
              </w:rPr>
              <w:t>DEVELOPER INSTRUCTION</w:t>
            </w:r>
          </w:p>
          <w:p>
            <w:pPr>
              <w:pStyle w:val="DevNote"/>
              <w:spacing w:after="40"/>
            </w:pPr>
            <w:r>
              <w:rPr>
                <w:rFonts w:ascii="Aptos" w:hAnsi="Aptos"/>
                <w:sz w:val="16"/>
              </w:rPr>
              <w:t>Do not mention FDA-related services in public product descriptions unless trademark and service scope decisions change.</w:t>
            </w:r>
          </w:p>
        </w:tc>
      </w:tr>
    </w:tbl>
    <w:p>
      <w:pPr>
        <w:spacing w:after="0"/>
      </w:pPr>
    </w:p>
    <w:p>
      <w:pPr>
        <w:pStyle w:val="Heading2"/>
      </w:pPr>
      <w:r>
        <w:t>Logistics &amp; Customs</w:t>
      </w:r>
    </w:p>
    <w:p>
      <w:r>
        <w:rPr>
          <w:b/>
        </w:rPr>
        <w:t xml:space="preserve">Available in: </w:t>
      </w:r>
      <w:r>
        <w:t>Available globally</w:t>
      </w:r>
    </w:p>
    <w:p>
      <w:r>
        <w:t>Understand what may be required at the border, what a shipment may cost, and who is responsible at each stage. Cross-border goods movements can involve registrations, classification, declarations, duties and taxes, licenses, documentation, and trade reporting.</w:t>
      </w:r>
    </w:p>
    <w:p>
      <w:r>
        <w:rPr>
          <w:b/>
        </w:rPr>
        <w:t>You may need this when:</w:t>
      </w:r>
    </w:p>
    <w:p>
      <w:pPr>
        <w:pStyle w:val="ListBullet2"/>
      </w:pPr>
      <w:r>
        <w:t>You import, export, store, or deliver physical goods across borders.</w:t>
      </w:r>
    </w:p>
    <w:p>
      <w:r>
        <w:rPr>
          <w:b/>
        </w:rPr>
        <w:t>Support available:</w:t>
      </w:r>
    </w:p>
    <w:p>
      <w:pPr>
        <w:pStyle w:val="ListBullet2"/>
      </w:pPr>
      <w:r>
        <w:t>Customs broker and freight forwarder matching</w:t>
      </w:r>
    </w:p>
    <w:p>
      <w:pPr>
        <w:pStyle w:val="ListBullet2"/>
      </w:pPr>
      <w:r>
        <w:t>Importer, exporter, and EORI requirements</w:t>
      </w:r>
    </w:p>
    <w:p>
      <w:pPr>
        <w:pStyle w:val="ListBullet2"/>
      </w:pPr>
      <w:r>
        <w:t>HS and tariff classification</w:t>
      </w:r>
    </w:p>
    <w:p>
      <w:pPr>
        <w:pStyle w:val="ListBullet2"/>
      </w:pPr>
      <w:r>
        <w:t>Customs valuation and origin</w:t>
      </w:r>
    </w:p>
    <w:p>
      <w:pPr>
        <w:pStyle w:val="ListBullet2"/>
      </w:pPr>
      <w:r>
        <w:t>Declarations and shipping documents</w:t>
      </w:r>
    </w:p>
    <w:p>
      <w:pPr>
        <w:pStyle w:val="ListBullet2"/>
      </w:pPr>
      <w:r>
        <w:t>Duties and import taxes</w:t>
      </w:r>
    </w:p>
    <w:p>
      <w:pPr>
        <w:pStyle w:val="ListBullet2"/>
      </w:pPr>
      <w:r>
        <w:t>Import and export licenses</w:t>
      </w:r>
    </w:p>
    <w:p>
      <w:pPr>
        <w:pStyle w:val="ListBullet2"/>
      </w:pPr>
      <w:r>
        <w:t>Incoterms and delivery responsibilities</w:t>
      </w:r>
    </w:p>
    <w:p>
      <w:pPr>
        <w:pStyle w:val="ListBullet2"/>
      </w:pPr>
      <w:r>
        <w:t>Intrastat reporting</w:t>
      </w:r>
    </w:p>
    <w:p>
      <w:pPr>
        <w:pStyle w:val="ListBullet2"/>
      </w:pPr>
      <w:r>
        <w:t>Warehousing, fulfillment, and 3PL services</w:t>
      </w:r>
    </w:p>
    <w:p>
      <w:pPr>
        <w:pStyle w:val="ListBullet2"/>
      </w:pPr>
      <w:r>
        <w:t>Route-specific support</w:t>
      </w:r>
    </w:p>
    <w:p>
      <w:r>
        <w:rPr>
          <w:b/>
        </w:rPr>
        <w:t>Tooltips:</w:t>
      </w:r>
    </w:p>
    <w:p>
      <w:pPr>
        <w:pStyle w:val="ListBullet2"/>
      </w:pPr>
      <w:r>
        <w:t>EORI — An Economic Operators Registration and Identification number used for customs activities in relevant markets.</w:t>
      </w:r>
    </w:p>
    <w:p>
      <w:pPr>
        <w:pStyle w:val="ListBullet2"/>
      </w:pPr>
      <w:r>
        <w:t>HS classification — The tariff classification assigned to goods for customs purposes.</w:t>
      </w:r>
    </w:p>
    <w:p>
      <w:pPr>
        <w:pStyle w:val="ListBullet2"/>
      </w:pPr>
      <w:r>
        <w:t>Customs value — The value used to calculate customs duties and certain taxes.</w:t>
      </w:r>
    </w:p>
    <w:p>
      <w:pPr>
        <w:pStyle w:val="ListBullet2"/>
      </w:pPr>
      <w:r>
        <w:t>Origin — The country treated as the origin of goods under applicable origin rules.</w:t>
      </w:r>
    </w:p>
    <w:p>
      <w:pPr>
        <w:pStyle w:val="ListBullet2"/>
      </w:pPr>
      <w:r>
        <w:t>Incoterms — Standard trade terms allocating specified delivery tasks, costs, and risks; they do not determine ownership or every form of liability.</w:t>
      </w:r>
    </w:p>
    <w:p>
      <w:pPr>
        <w:pStyle w:val="ListBullet2"/>
      </w:pPr>
      <w:r>
        <w:t>3PL — A third-party logistics provider that performs services such as warehousing, fulfillment, or transportation.</w:t>
      </w:r>
    </w:p>
    <w:p>
      <w:pPr>
        <w:pStyle w:val="Heading2"/>
      </w:pPr>
      <w:r>
        <w:t>Legal Support</w:t>
      </w:r>
    </w:p>
    <w:p>
      <w:r>
        <w:rPr>
          <w:b/>
        </w:rPr>
        <w:t xml:space="preserve">Available in: </w:t>
      </w:r>
      <w:r>
        <w:t>Available globally</w:t>
      </w:r>
    </w:p>
    <w:p>
      <w:r>
        <w:t>Understand when qualified legal support may be needed and find a professional suited to the matter. CompliHub360 identifies the type of support and matches providers; it is not a law firm and does not provide legal advice.</w:t>
      </w:r>
    </w:p>
    <w:p>
      <w:r>
        <w:rPr>
          <w:b/>
        </w:rPr>
        <w:t>You may need this when:</w:t>
      </w:r>
    </w:p>
    <w:p>
      <w:pPr>
        <w:pStyle w:val="ListBullet2"/>
      </w:pPr>
      <w:r>
        <w:t>A contract, business decision, consumer issue, legal filing, dispute, or jurisdiction-specific matter requires qualified legal support.</w:t>
      </w:r>
    </w:p>
    <w:p>
      <w:r>
        <w:rPr>
          <w:b/>
        </w:rPr>
        <w:t>Support available:</w:t>
      </w:r>
    </w:p>
    <w:p>
      <w:pPr>
        <w:pStyle w:val="ListBullet2"/>
      </w:pPr>
      <w:r>
        <w:t>Commercial contracts</w:t>
      </w:r>
    </w:p>
    <w:p>
      <w:pPr>
        <w:pStyle w:val="ListBullet2"/>
      </w:pPr>
      <w:r>
        <w:t>Website terms and consumer policies</w:t>
      </w:r>
    </w:p>
    <w:p>
      <w:pPr>
        <w:pStyle w:val="ListBullet2"/>
      </w:pPr>
      <w:r>
        <w:t>Returns, warranties, and consumer rights</w:t>
      </w:r>
    </w:p>
    <w:p>
      <w:pPr>
        <w:pStyle w:val="ListBullet2"/>
      </w:pPr>
      <w:r>
        <w:t>Liability matters</w:t>
      </w:r>
    </w:p>
    <w:p>
      <w:pPr>
        <w:pStyle w:val="ListBullet2"/>
      </w:pPr>
      <w:r>
        <w:t>Corporate and commercial law</w:t>
      </w:r>
    </w:p>
    <w:p>
      <w:pPr>
        <w:pStyle w:val="ListBullet2"/>
      </w:pPr>
      <w:r>
        <w:t>Employment and contractor matters</w:t>
      </w:r>
    </w:p>
    <w:p>
      <w:pPr>
        <w:pStyle w:val="ListBullet2"/>
      </w:pPr>
      <w:r>
        <w:t>Intellectual property and trademarks</w:t>
      </w:r>
    </w:p>
    <w:p>
      <w:pPr>
        <w:pStyle w:val="ListBullet2"/>
      </w:pPr>
      <w:r>
        <w:t>Disputes</w:t>
      </w:r>
    </w:p>
    <w:p>
      <w:pPr>
        <w:pStyle w:val="ListBullet2"/>
      </w:pPr>
      <w:r>
        <w:t>Applicable law and jurisdiction</w:t>
      </w:r>
    </w:p>
    <w:p>
      <w:pPr>
        <w:pStyle w:val="ListBullet2"/>
      </w:pPr>
      <w:r>
        <w:t>Local legal opinions and regulatory advice</w:t>
      </w:r>
    </w:p>
    <w:p>
      <w:r>
        <w:rPr>
          <w:b/>
        </w:rPr>
        <w:t>Tooltips:</w:t>
      </w:r>
    </w:p>
    <w:p>
      <w:pPr>
        <w:pStyle w:val="ListBullet2"/>
      </w:pPr>
      <w:r>
        <w:t>Legal information — General information about legal requirements or processes; it is not advice for a specific situation.</w:t>
      </w:r>
    </w:p>
    <w:p>
      <w:pPr>
        <w:pStyle w:val="ListBullet2"/>
      </w:pPr>
      <w:r>
        <w:t>Legal advice — A qualified professional’s recommendation based on the facts and applicable law.</w:t>
      </w:r>
    </w:p>
    <w:p>
      <w:pPr>
        <w:pStyle w:val="ListBullet2"/>
      </w:pPr>
      <w:r>
        <w:t>Applicable law — The body of law governing a matter or agreement.</w:t>
      </w:r>
    </w:p>
    <w:p>
      <w:pPr>
        <w:pStyle w:val="ListBullet2"/>
      </w:pPr>
      <w:r>
        <w:t>Jurisdiction — The country, state, or legal authority whose courts or rules apply.</w:t>
      </w:r>
    </w:p>
    <w:p>
      <w:pPr>
        <w:pStyle w:val="ListBullet2"/>
      </w:pPr>
      <w:r>
        <w:t>Verified Legal Provider — An independent legal professional or firm reviewed against CompliHub360’s applicable provider criteria.</w:t>
      </w:r>
    </w:p>
    <w:tbl>
      <w:tblPr>
        <w:tblW w:type="auto" w:w="0"/>
        <w:jc w:val="center"/>
        <w:tblLayout w:type="fixed"/>
        <w:tblLook w:firstColumn="1" w:firstRow="1" w:lastColumn="0" w:lastRow="0" w:noHBand="0" w:noVBand="1" w:val="04A0"/>
      </w:tblPr>
      <w:tblGrid>
        <w:gridCol w:w="9792"/>
      </w:tblGrid>
      <w:tr>
        <w:trPr>
          <w:cantSplit/>
        </w:trPr>
        <w:tc>
          <w:tcPr>
            <w:tcW w:type="dxa" w:w="9994"/>
            <w:shd w:fill="EEF4F7"/>
            <w:tcMar>
              <w:top w:w="90" w:type="dxa"/>
              <w:start w:w="110" w:type="dxa"/>
              <w:bottom w:w="90" w:type="dxa"/>
              <w:end w:w="110" w:type="dxa"/>
            </w:tcMar>
            <w:vAlign w:val="center"/>
          </w:tcPr>
          <w:p>
            <w:pPr>
              <w:pStyle w:val="DevNote"/>
            </w:pPr>
            <w:r>
              <w:rPr>
                <w:rFonts w:ascii="Aptos" w:hAnsi="Aptos"/>
                <w:b/>
                <w:color w:val="14A6A1"/>
                <w:sz w:val="16"/>
              </w:rPr>
              <w:t>DEVELOPER INSTRUCTION</w:t>
            </w:r>
          </w:p>
          <w:p>
            <w:pPr>
              <w:pStyle w:val="DevNote"/>
              <w:spacing w:after="40"/>
            </w:pPr>
            <w:r>
              <w:rPr>
                <w:rFonts w:ascii="Aptos" w:hAnsi="Aptos"/>
                <w:sz w:val="16"/>
              </w:rPr>
              <w:t>The selected provider establishes the professional relationship, confirms scope, and provides advice under its own responsibility and terms.</w:t>
            </w:r>
          </w:p>
        </w:tc>
      </w:tr>
    </w:tbl>
    <w:p>
      <w:pPr>
        <w:spacing w:after="0"/>
      </w:pPr>
    </w:p>
    <w:p>
      <w:r>
        <w:br w:type="page"/>
      </w:r>
    </w:p>
    <w:p>
      <w:pPr>
        <w:pStyle w:val="Heading1"/>
      </w:pPr>
      <w:r>
        <w:t>8. Trust Band</w:t>
      </w:r>
    </w:p>
    <w:tbl>
      <w:tblPr>
        <w:tblW w:type="auto" w:w="0"/>
        <w:jc w:val="center"/>
        <w:tblLayout w:type="fixed"/>
        <w:tblLook w:firstColumn="1" w:firstRow="1" w:lastColumn="0" w:lastRow="0" w:noHBand="0" w:noVBand="1" w:val="04A0"/>
      </w:tblPr>
      <w:tblGrid>
        <w:gridCol w:w="9792"/>
      </w:tblGrid>
      <w:tr>
        <w:trPr>
          <w:cantSplit/>
        </w:trPr>
        <w:tc>
          <w:tcPr>
            <w:tcW w:type="dxa" w:w="9994"/>
            <w:shd w:fill="F2F4F5"/>
            <w:tcMar>
              <w:top w:w="90" w:type="dxa"/>
              <w:start w:w="110" w:type="dxa"/>
              <w:bottom w:w="90" w:type="dxa"/>
              <w:end w:w="110" w:type="dxa"/>
            </w:tcMar>
            <w:vAlign w:val="center"/>
          </w:tcPr>
          <w:p>
            <w:pPr>
              <w:pStyle w:val="CurrentBox"/>
            </w:pPr>
            <w:r>
              <w:rPr>
                <w:rFonts w:ascii="Aptos" w:hAnsi="Aptos"/>
                <w:b/>
                <w:color w:val="14A6A1"/>
                <w:sz w:val="16"/>
              </w:rPr>
              <w:t>CURRENT WEBSITE WORDING</w:t>
            </w:r>
          </w:p>
          <w:p>
            <w:pPr>
              <w:pStyle w:val="CurrentBox"/>
              <w:spacing w:after="40"/>
            </w:pPr>
            <w:r>
              <w:rPr>
                <w:rFonts w:ascii="Aptos" w:hAnsi="Aptos"/>
                <w:sz w:val="16"/>
              </w:rPr>
              <w:t>Original cards include “Risk-prioritized, not exhaustive,” “Verified by us, not self-listed,” and “Shared accountability built-in.”</w:t>
            </w:r>
          </w:p>
        </w:tc>
      </w:tr>
    </w:tbl>
    <w:p>
      <w:pPr>
        <w:spacing w:after="0"/>
      </w:pPr>
    </w:p>
    <w:tbl>
      <w:tblPr>
        <w:tblW w:type="auto" w:w="0"/>
        <w:jc w:val="center"/>
        <w:tblLayout w:type="fixed"/>
        <w:tblLook w:firstColumn="1" w:firstRow="1" w:lastColumn="0" w:lastRow="0" w:noHBand="0" w:noVBand="1" w:val="04A0"/>
      </w:tblPr>
      <w:tblGrid>
        <w:gridCol w:w="9792"/>
      </w:tblGrid>
      <w:tr>
        <w:trPr>
          <w:cantSplit/>
        </w:trPr>
        <w:tc>
          <w:tcPr>
            <w:tcW w:type="dxa" w:w="9994"/>
            <w:shd w:fill="E8F7F6"/>
            <w:tcMar>
              <w:top w:w="90" w:type="dxa"/>
              <w:start w:w="110" w:type="dxa"/>
              <w:bottom w:w="90" w:type="dxa"/>
              <w:end w:w="110" w:type="dxa"/>
            </w:tcMar>
            <w:vAlign w:val="center"/>
          </w:tcPr>
          <w:p>
            <w:pPr>
              <w:pStyle w:val="ApprovedBox"/>
            </w:pPr>
            <w:r>
              <w:rPr>
                <w:rFonts w:ascii="Aptos" w:hAnsi="Aptos"/>
                <w:b/>
                <w:color w:val="14A6A1"/>
                <w:sz w:val="16"/>
              </w:rPr>
              <w:t>APPROVED REPLACEMENT</w:t>
            </w:r>
          </w:p>
          <w:p>
            <w:pPr>
              <w:pStyle w:val="ApprovedBox"/>
              <w:spacing w:after="40"/>
            </w:pPr>
            <w:r>
              <w:rPr>
                <w:rFonts w:ascii="Aptos" w:hAnsi="Aptos"/>
                <w:sz w:val="16"/>
              </w:rPr>
              <w:t>EYEBROW</w:t>
            </w:r>
          </w:p>
          <w:p>
            <w:pPr>
              <w:pStyle w:val="ApprovedBox"/>
              <w:spacing w:after="40"/>
            </w:pPr>
            <w:r>
              <w:rPr>
                <w:rFonts w:ascii="Aptos" w:hAnsi="Aptos"/>
                <w:sz w:val="16"/>
              </w:rPr>
              <w:t>Why CompliHub360 brings both together</w:t>
            </w:r>
          </w:p>
          <w:p>
            <w:pPr>
              <w:pStyle w:val="ApprovedBox"/>
              <w:spacing w:after="40"/>
            </w:pPr>
            <w:r>
              <w:rPr>
                <w:rFonts w:ascii="Aptos" w:hAnsi="Aptos"/>
                <w:sz w:val="16"/>
              </w:rPr>
            </w:r>
          </w:p>
          <w:p>
            <w:pPr>
              <w:pStyle w:val="ApprovedBox"/>
              <w:spacing w:after="40"/>
            </w:pPr>
            <w:r>
              <w:rPr>
                <w:rFonts w:ascii="Aptos" w:hAnsi="Aptos"/>
                <w:sz w:val="16"/>
              </w:rPr>
              <w:t>HEADLINE</w:t>
            </w:r>
          </w:p>
          <w:p>
            <w:pPr>
              <w:pStyle w:val="ApprovedBox"/>
              <w:spacing w:after="40"/>
            </w:pPr>
            <w:r>
              <w:rPr>
                <w:rFonts w:ascii="Aptos" w:hAnsi="Aptos"/>
                <w:sz w:val="16"/>
              </w:rPr>
              <w:t>Clear information and the right professional belong together.</w:t>
            </w:r>
          </w:p>
          <w:p>
            <w:pPr>
              <w:pStyle w:val="ApprovedBox"/>
              <w:spacing w:after="40"/>
            </w:pPr>
            <w:r>
              <w:rPr>
                <w:rFonts w:ascii="Aptos" w:hAnsi="Aptos"/>
                <w:sz w:val="16"/>
              </w:rPr>
            </w:r>
          </w:p>
          <w:p>
            <w:pPr>
              <w:pStyle w:val="ApprovedBox"/>
              <w:spacing w:after="40"/>
            </w:pPr>
            <w:r>
              <w:rPr>
                <w:rFonts w:ascii="Aptos" w:hAnsi="Aptos"/>
                <w:sz w:val="16"/>
              </w:rPr>
              <w:t>BODY</w:t>
            </w:r>
          </w:p>
          <w:p>
            <w:pPr>
              <w:pStyle w:val="ApprovedBox"/>
              <w:spacing w:after="40"/>
            </w:pPr>
            <w:r>
              <w:rPr>
                <w:rFonts w:ascii="Aptos" w:hAnsi="Aptos"/>
                <w:sz w:val="16"/>
              </w:rPr>
              <w:t>Reliable information helps you understand what matters. Fair matching helps you find the right professional when support is needed.</w:t>
            </w:r>
          </w:p>
        </w:tc>
      </w:tr>
    </w:tbl>
    <w:p>
      <w:pPr>
        <w:spacing w:after="0"/>
      </w:pPr>
    </w:p>
    <w:p>
      <w:pPr>
        <w:pStyle w:val="ListBullet"/>
      </w:pPr>
      <w:r>
        <w:t>Focused on what matters first — See priorities and next steps without an overwhelming checklist.</w:t>
      </w:r>
    </w:p>
    <w:p>
      <w:pPr>
        <w:pStyle w:val="ListBullet"/>
      </w:pPr>
      <w:r>
        <w:t>Official sources behind every result — Review the authority, source link, and relevant date supporting the information.</w:t>
      </w:r>
    </w:p>
    <w:p>
      <w:pPr>
        <w:pStyle w:val="ListBullet"/>
      </w:pPr>
      <w:r>
        <w:t>Kept up to date — See when information was last reviewed or updated.</w:t>
      </w:r>
    </w:p>
    <w:p>
      <w:pPr>
        <w:pStyle w:val="ListBullet"/>
      </w:pPr>
      <w:r>
        <w:t>Clear language, precise terms — Understand the issue without losing the terminology used by authorities.</w:t>
      </w:r>
    </w:p>
    <w:p>
      <w:pPr>
        <w:pStyle w:val="ListBullet"/>
      </w:pPr>
      <w:r>
        <w:t>Providers reviewed before they join — Providers are assessed against applicable business, expertise, coverage, and quality criteria.</w:t>
      </w:r>
    </w:p>
    <w:p>
      <w:pPr>
        <w:pStyle w:val="ListBullet"/>
      </w:pPr>
      <w:r>
        <w:t>Clear responsibility for every engagement — Professional services are provided by the selected independent provider under its own responsibility and terms.</w:t>
      </w:r>
    </w:p>
    <w:p>
      <w:r>
        <w:t>Tooltips: Official Source · Verified Provider · Priority</w:t>
      </w:r>
    </w:p>
    <w:tbl>
      <w:tblPr>
        <w:tblW w:type="auto" w:w="0"/>
        <w:jc w:val="center"/>
        <w:tblLayout w:type="fixed"/>
        <w:tblLook w:firstColumn="1" w:firstRow="1" w:lastColumn="0" w:lastRow="0" w:noHBand="0" w:noVBand="1" w:val="04A0"/>
      </w:tblPr>
      <w:tblGrid>
        <w:gridCol w:w="9792"/>
      </w:tblGrid>
      <w:tr>
        <w:trPr>
          <w:cantSplit/>
        </w:trPr>
        <w:tc>
          <w:tcPr>
            <w:tcW w:type="dxa" w:w="9994"/>
            <w:shd w:fill="EEF4F7"/>
            <w:tcMar>
              <w:top w:w="90" w:type="dxa"/>
              <w:start w:w="110" w:type="dxa"/>
              <w:bottom w:w="90" w:type="dxa"/>
              <w:end w:w="110" w:type="dxa"/>
            </w:tcMar>
            <w:vAlign w:val="center"/>
          </w:tcPr>
          <w:p>
            <w:pPr>
              <w:pStyle w:val="DevNote"/>
            </w:pPr>
            <w:r>
              <w:rPr>
                <w:rFonts w:ascii="Aptos" w:hAnsi="Aptos"/>
                <w:b/>
                <w:color w:val="14A6A1"/>
                <w:sz w:val="16"/>
              </w:rPr>
              <w:t>DEVELOPER INSTRUCTION</w:t>
            </w:r>
          </w:p>
          <w:p>
            <w:pPr>
              <w:pStyle w:val="DevNote"/>
              <w:spacing w:after="40"/>
            </w:pPr>
            <w:r>
              <w:rPr>
                <w:rFonts w:ascii="Aptos" w:hAnsi="Aptos"/>
                <w:sz w:val="16"/>
              </w:rPr>
              <w:t>Remove “shared accountability.” Official source and last-reviewed fields must be populated before making source/update promises visible.</w:t>
            </w:r>
          </w:p>
        </w:tc>
      </w:tr>
    </w:tbl>
    <w:p>
      <w:pPr>
        <w:spacing w:after="0"/>
      </w:pPr>
    </w:p>
    <w:p>
      <w:pPr>
        <w:pStyle w:val="Heading1"/>
      </w:pPr>
      <w:r>
        <w:t>9. From Match to Engagement</w:t>
      </w:r>
    </w:p>
    <w:tbl>
      <w:tblPr>
        <w:tblW w:type="auto" w:w="0"/>
        <w:jc w:val="center"/>
        <w:tblLayout w:type="fixed"/>
        <w:tblLook w:firstColumn="1" w:firstRow="1" w:lastColumn="0" w:lastRow="0" w:noHBand="0" w:noVBand="1" w:val="04A0"/>
      </w:tblPr>
      <w:tblGrid>
        <w:gridCol w:w="9792"/>
      </w:tblGrid>
      <w:tr>
        <w:trPr>
          <w:cantSplit/>
        </w:trPr>
        <w:tc>
          <w:tcPr>
            <w:tcW w:type="dxa" w:w="9994"/>
            <w:shd w:fill="F2F4F5"/>
            <w:tcMar>
              <w:top w:w="90" w:type="dxa"/>
              <w:start w:w="110" w:type="dxa"/>
              <w:bottom w:w="90" w:type="dxa"/>
              <w:end w:w="110" w:type="dxa"/>
            </w:tcMar>
            <w:vAlign w:val="center"/>
          </w:tcPr>
          <w:p>
            <w:pPr>
              <w:pStyle w:val="CurrentBox"/>
            </w:pPr>
            <w:r>
              <w:rPr>
                <w:rFonts w:ascii="Aptos" w:hAnsi="Aptos"/>
                <w:b/>
                <w:color w:val="14A6A1"/>
                <w:sz w:val="16"/>
              </w:rPr>
              <w:t>CURRENT WEBSITE WORDING</w:t>
            </w:r>
          </w:p>
          <w:p>
            <w:pPr>
              <w:pStyle w:val="CurrentBox"/>
              <w:spacing w:after="40"/>
            </w:pPr>
            <w:r>
              <w:rPr>
                <w:rFonts w:ascii="Aptos" w:hAnsi="Aptos"/>
                <w:sz w:val="16"/>
              </w:rPr>
              <w:t>The original section promises a fixed estimate before acceptance, 24–48 hour contractual responses, automatic rerouting, and exports in any format.</w:t>
            </w:r>
          </w:p>
        </w:tc>
      </w:tr>
    </w:tbl>
    <w:p>
      <w:pPr>
        <w:spacing w:after="0"/>
      </w:pPr>
    </w:p>
    <w:tbl>
      <w:tblPr>
        <w:tblW w:type="auto" w:w="0"/>
        <w:jc w:val="center"/>
        <w:tblLayout w:type="fixed"/>
        <w:tblLook w:firstColumn="1" w:firstRow="1" w:lastColumn="0" w:lastRow="0" w:noHBand="0" w:noVBand="1" w:val="04A0"/>
      </w:tblPr>
      <w:tblGrid>
        <w:gridCol w:w="9792"/>
      </w:tblGrid>
      <w:tr>
        <w:trPr>
          <w:cantSplit/>
        </w:trPr>
        <w:tc>
          <w:tcPr>
            <w:tcW w:type="dxa" w:w="9994"/>
            <w:shd w:fill="E8F7F6"/>
            <w:tcMar>
              <w:top w:w="90" w:type="dxa"/>
              <w:start w:w="110" w:type="dxa"/>
              <w:bottom w:w="90" w:type="dxa"/>
              <w:end w:w="110" w:type="dxa"/>
            </w:tcMar>
            <w:vAlign w:val="center"/>
          </w:tcPr>
          <w:p>
            <w:pPr>
              <w:pStyle w:val="ApprovedBox"/>
            </w:pPr>
            <w:r>
              <w:rPr>
                <w:rFonts w:ascii="Aptos" w:hAnsi="Aptos"/>
                <w:b/>
                <w:color w:val="14A6A1"/>
                <w:sz w:val="16"/>
              </w:rPr>
              <w:t>APPROVED REPLACEMENT</w:t>
            </w:r>
          </w:p>
          <w:p>
            <w:pPr>
              <w:pStyle w:val="ApprovedBox"/>
              <w:spacing w:after="40"/>
            </w:pPr>
            <w:r>
              <w:rPr>
                <w:rFonts w:ascii="Aptos" w:hAnsi="Aptos"/>
                <w:sz w:val="16"/>
              </w:rPr>
              <w:t>EYEBROW</w:t>
            </w:r>
          </w:p>
          <w:p>
            <w:pPr>
              <w:pStyle w:val="ApprovedBox"/>
              <w:spacing w:after="40"/>
            </w:pPr>
            <w:r>
              <w:rPr>
                <w:rFonts w:ascii="Aptos" w:hAnsi="Aptos"/>
                <w:sz w:val="16"/>
              </w:rPr>
              <w:t>After you choose</w:t>
            </w:r>
          </w:p>
          <w:p>
            <w:pPr>
              <w:pStyle w:val="ApprovedBox"/>
              <w:spacing w:after="40"/>
            </w:pPr>
            <w:r>
              <w:rPr>
                <w:rFonts w:ascii="Aptos" w:hAnsi="Aptos"/>
                <w:sz w:val="16"/>
              </w:rPr>
            </w:r>
          </w:p>
          <w:p>
            <w:pPr>
              <w:pStyle w:val="ApprovedBox"/>
              <w:spacing w:after="40"/>
            </w:pPr>
            <w:r>
              <w:rPr>
                <w:rFonts w:ascii="Aptos" w:hAnsi="Aptos"/>
                <w:sz w:val="16"/>
              </w:rPr>
              <w:t>HEADLINE</w:t>
            </w:r>
          </w:p>
          <w:p>
            <w:pPr>
              <w:pStyle w:val="ApprovedBox"/>
              <w:spacing w:after="40"/>
            </w:pPr>
            <w:r>
              <w:rPr>
                <w:rFonts w:ascii="Aptos" w:hAnsi="Aptos"/>
                <w:sz w:val="16"/>
              </w:rPr>
              <w:t>From your provider choice to completed work—clear at every step.</w:t>
            </w:r>
          </w:p>
          <w:p>
            <w:pPr>
              <w:pStyle w:val="ApprovedBox"/>
              <w:spacing w:after="40"/>
            </w:pPr>
            <w:r>
              <w:rPr>
                <w:rFonts w:ascii="Aptos" w:hAnsi="Aptos"/>
                <w:sz w:val="16"/>
              </w:rPr>
            </w:r>
          </w:p>
          <w:p>
            <w:pPr>
              <w:pStyle w:val="ApprovedBox"/>
              <w:spacing w:after="40"/>
            </w:pPr>
            <w:r>
              <w:rPr>
                <w:rFonts w:ascii="Aptos" w:hAnsi="Aptos"/>
                <w:sz w:val="16"/>
              </w:rPr>
              <w:t>SUBTITLE</w:t>
            </w:r>
          </w:p>
          <w:p>
            <w:pPr>
              <w:pStyle w:val="ApprovedBox"/>
              <w:spacing w:after="40"/>
            </w:pPr>
            <w:r>
              <w:rPr>
                <w:rFonts w:ascii="Aptos" w:hAnsi="Aptos"/>
                <w:sz w:val="16"/>
              </w:rPr>
              <w:t>Choose and book a consultation. The provider’s identity is revealed and the information you approve is shared. Pricing, timing, scope, communication, and progress remain visible throughout the engagement.</w:t>
            </w:r>
          </w:p>
        </w:tc>
      </w:tr>
    </w:tbl>
    <w:p>
      <w:pPr>
        <w:spacing w:after="0"/>
      </w:pPr>
    </w:p>
    <w:p>
      <w:pPr>
        <w:pStyle w:val="Heading2"/>
      </w:pPr>
      <w:r>
        <w:t>Card 1 — See the price before you commit</w:t>
      </w:r>
    </w:p>
    <w:p>
      <w:r>
        <w:t>An expected price range is shown before you choose. After the consultation, the provider confirms the final scope and estimate. No professional work begins until you approve it.</w:t>
      </w:r>
    </w:p>
    <w:tbl>
      <w:tblPr>
        <w:tblW w:type="auto" w:w="0"/>
        <w:jc w:val="center"/>
        <w:tblLayout w:type="fixed"/>
        <w:tblLook w:firstColumn="1" w:firstRow="1" w:lastColumn="0" w:lastRow="0" w:noHBand="0" w:noVBand="1" w:val="04A0"/>
      </w:tblPr>
      <w:tblGrid>
        <w:gridCol w:w="9792"/>
      </w:tblGrid>
      <w:tr>
        <w:trPr>
          <w:cantSplit/>
        </w:trPr>
        <w:tc>
          <w:tcPr>
            <w:tcW w:type="dxa" w:w="9994"/>
            <w:shd w:fill="E8F7F6"/>
            <w:tcMar>
              <w:top w:w="90" w:type="dxa"/>
              <w:start w:w="110" w:type="dxa"/>
              <w:bottom w:w="90" w:type="dxa"/>
              <w:end w:w="110" w:type="dxa"/>
            </w:tcMar>
            <w:vAlign w:val="center"/>
          </w:tcPr>
          <w:p>
            <w:pPr>
              <w:pStyle w:val="ApprovedBox"/>
            </w:pPr>
            <w:r>
              <w:rPr>
                <w:rFonts w:ascii="Aptos" w:hAnsi="Aptos"/>
                <w:b/>
                <w:color w:val="14A6A1"/>
                <w:sz w:val="16"/>
              </w:rPr>
              <w:t>APPROVED EXAMPLE</w:t>
            </w:r>
          </w:p>
          <w:p>
            <w:pPr>
              <w:pStyle w:val="ApprovedBox"/>
              <w:spacing w:after="40"/>
            </w:pPr>
            <w:r>
              <w:rPr>
                <w:rFonts w:ascii="Aptos" w:hAnsi="Aptos"/>
                <w:sz w:val="16"/>
              </w:rPr>
              <w:t>EXPECTED PRICE RANGE</w:t>
            </w:r>
          </w:p>
          <w:p>
            <w:pPr>
              <w:pStyle w:val="ApprovedBox"/>
              <w:spacing w:after="40"/>
            </w:pPr>
            <w:r>
              <w:rPr>
                <w:rFonts w:ascii="Aptos" w:hAnsi="Aptos"/>
                <w:sz w:val="16"/>
              </w:rPr>
              <w:t>€2,400–€3,800</w:t>
            </w:r>
          </w:p>
          <w:p>
            <w:pPr>
              <w:pStyle w:val="ApprovedBox"/>
              <w:spacing w:after="40"/>
            </w:pPr>
            <w:r>
              <w:rPr>
                <w:rFonts w:ascii="Aptos" w:hAnsi="Aptos"/>
                <w:sz w:val="16"/>
              </w:rPr>
            </w:r>
          </w:p>
          <w:p>
            <w:pPr>
              <w:pStyle w:val="ApprovedBox"/>
              <w:spacing w:after="40"/>
            </w:pPr>
            <w:r>
              <w:rPr>
                <w:rFonts w:ascii="Aptos" w:hAnsi="Aptos"/>
                <w:sz w:val="16"/>
              </w:rPr>
              <w:t>SERVICES INCLUDED</w:t>
            </w:r>
          </w:p>
          <w:p>
            <w:pPr>
              <w:pStyle w:val="ApprovedBox"/>
              <w:spacing w:after="40"/>
            </w:pPr>
            <w:r>
              <w:rPr>
                <w:rFonts w:ascii="Aptos" w:hAnsi="Aptos"/>
                <w:sz w:val="16"/>
              </w:rPr>
              <w:t>OSS quarterly returns · Germany · Netherlands · France</w:t>
            </w:r>
          </w:p>
          <w:p>
            <w:pPr>
              <w:pStyle w:val="ApprovedBox"/>
              <w:spacing w:after="40"/>
            </w:pPr>
            <w:r>
              <w:rPr>
                <w:rFonts w:ascii="Aptos" w:hAnsi="Aptos"/>
                <w:sz w:val="16"/>
              </w:rPr>
            </w:r>
          </w:p>
          <w:p>
            <w:pPr>
              <w:pStyle w:val="ApprovedBox"/>
              <w:spacing w:after="40"/>
            </w:pPr>
            <w:r>
              <w:rPr>
                <w:rFonts w:ascii="Aptos" w:hAnsi="Aptos"/>
                <w:sz w:val="16"/>
              </w:rPr>
              <w:t>ESTIMATED SERVICE TIMELINE</w:t>
            </w:r>
          </w:p>
          <w:p>
            <w:pPr>
              <w:pStyle w:val="ApprovedBox"/>
              <w:spacing w:after="40"/>
            </w:pPr>
            <w:r>
              <w:rPr>
                <w:rFonts w:ascii="Aptos" w:hAnsi="Aptos"/>
                <w:sz w:val="16"/>
              </w:rPr>
              <w:t>Average 10–15 business days after all required information and documents are received</w:t>
            </w:r>
          </w:p>
          <w:p>
            <w:pPr>
              <w:pStyle w:val="ApprovedBox"/>
              <w:spacing w:after="40"/>
            </w:pPr>
            <w:r>
              <w:rPr>
                <w:rFonts w:ascii="Aptos" w:hAnsi="Aptos"/>
                <w:sz w:val="16"/>
              </w:rPr>
            </w:r>
          </w:p>
          <w:p>
            <w:pPr>
              <w:pStyle w:val="ApprovedBox"/>
              <w:spacing w:after="40"/>
            </w:pPr>
            <w:r>
              <w:rPr>
                <w:rFonts w:ascii="Aptos" w:hAnsi="Aptos"/>
                <w:sz w:val="16"/>
              </w:rPr>
              <w:t>CUSTOMER REVIEWS</w:t>
            </w:r>
          </w:p>
          <w:p>
            <w:pPr>
              <w:pStyle w:val="ApprovedBox"/>
              <w:spacing w:after="40"/>
            </w:pPr>
            <w:r>
              <w:rPr>
                <w:rFonts w:ascii="Aptos" w:hAnsi="Aptos"/>
                <w:sz w:val="16"/>
              </w:rPr>
              <w:t>4.8/5 · 142 verified reviews</w:t>
            </w:r>
          </w:p>
          <w:p>
            <w:pPr>
              <w:pStyle w:val="ApprovedBox"/>
              <w:spacing w:after="40"/>
            </w:pPr>
            <w:r>
              <w:rPr>
                <w:rFonts w:ascii="Aptos" w:hAnsi="Aptos"/>
                <w:sz w:val="16"/>
              </w:rPr>
              <w:t>Sources: CompliHub360 and identified trusted external platforms</w:t>
            </w:r>
          </w:p>
          <w:p>
            <w:pPr>
              <w:pStyle w:val="ApprovedBox"/>
              <w:spacing w:after="40"/>
            </w:pPr>
            <w:r>
              <w:rPr>
                <w:rFonts w:ascii="Aptos" w:hAnsi="Aptos"/>
                <w:sz w:val="16"/>
              </w:rPr>
            </w:r>
          </w:p>
          <w:p>
            <w:pPr>
              <w:pStyle w:val="ApprovedBox"/>
              <w:spacing w:after="40"/>
            </w:pPr>
            <w:r>
              <w:rPr>
                <w:rFonts w:ascii="Aptos" w:hAnsi="Aptos"/>
                <w:sz w:val="16"/>
              </w:rPr>
              <w:t>PROFESSIONAL CREDENTIALS</w:t>
            </w:r>
          </w:p>
          <w:p>
            <w:pPr>
              <w:pStyle w:val="ApprovedBox"/>
              <w:spacing w:after="40"/>
            </w:pPr>
            <w:r>
              <w:rPr>
                <w:rFonts w:ascii="Aptos" w:hAnsi="Aptos"/>
                <w:sz w:val="16"/>
              </w:rPr>
              <w:t>Verified licenses, certifications, and professional memberships</w:t>
            </w:r>
          </w:p>
          <w:p>
            <w:pPr>
              <w:pStyle w:val="ApprovedBox"/>
              <w:spacing w:after="40"/>
            </w:pPr>
            <w:r>
              <w:rPr>
                <w:rFonts w:ascii="Aptos" w:hAnsi="Aptos"/>
                <w:sz w:val="16"/>
              </w:rPr>
            </w:r>
          </w:p>
          <w:p>
            <w:pPr>
              <w:pStyle w:val="ApprovedBox"/>
              <w:spacing w:after="40"/>
            </w:pPr>
            <w:r>
              <w:rPr>
                <w:rFonts w:ascii="Aptos" w:hAnsi="Aptos"/>
                <w:sz w:val="16"/>
              </w:rPr>
              <w:t>AWARDS AND RECOGNITION</w:t>
            </w:r>
          </w:p>
          <w:p>
            <w:pPr>
              <w:pStyle w:val="ApprovedBox"/>
              <w:spacing w:after="40"/>
            </w:pPr>
            <w:r>
              <w:rPr>
                <w:rFonts w:ascii="Aptos" w:hAnsi="Aptos"/>
                <w:sz w:val="16"/>
              </w:rPr>
              <w:t>Relevant awards with issuer and year</w:t>
            </w:r>
          </w:p>
          <w:p>
            <w:pPr>
              <w:pStyle w:val="ApprovedBox"/>
              <w:spacing w:after="40"/>
            </w:pPr>
            <w:r>
              <w:rPr>
                <w:rFonts w:ascii="Aptos" w:hAnsi="Aptos"/>
                <w:sz w:val="16"/>
              </w:rPr>
            </w:r>
          </w:p>
          <w:p>
            <w:pPr>
              <w:pStyle w:val="ApprovedBox"/>
              <w:spacing w:after="40"/>
            </w:pPr>
            <w:r>
              <w:rPr>
                <w:rFonts w:ascii="Aptos" w:hAnsi="Aptos"/>
                <w:sz w:val="16"/>
              </w:rPr>
              <w:t>INDEPENDENT BUSINESS VERIFICATION</w:t>
            </w:r>
          </w:p>
          <w:p>
            <w:pPr>
              <w:pStyle w:val="ApprovedBox"/>
              <w:spacing w:after="40"/>
            </w:pPr>
            <w:r>
              <w:rPr>
                <w:rFonts w:ascii="Aptos" w:hAnsi="Aptos"/>
                <w:sz w:val="16"/>
              </w:rPr>
              <w:t>Business registration and recognized verification channels, including BBB where applicable</w:t>
            </w:r>
          </w:p>
          <w:p>
            <w:pPr>
              <w:pStyle w:val="ApprovedBox"/>
              <w:spacing w:after="40"/>
            </w:pPr>
            <w:r>
              <w:rPr>
                <w:rFonts w:ascii="Aptos" w:hAnsi="Aptos"/>
                <w:sz w:val="16"/>
              </w:rPr>
            </w:r>
          </w:p>
          <w:p>
            <w:pPr>
              <w:pStyle w:val="ApprovedBox"/>
              <w:spacing w:after="40"/>
            </w:pPr>
            <w:r>
              <w:rPr>
                <w:rFonts w:ascii="Aptos" w:hAnsi="Aptos"/>
                <w:sz w:val="16"/>
              </w:rPr>
              <w:t>YOUR APPROVAL</w:t>
            </w:r>
          </w:p>
          <w:p>
            <w:pPr>
              <w:pStyle w:val="ApprovedBox"/>
              <w:spacing w:after="40"/>
            </w:pPr>
            <w:r>
              <w:rPr>
                <w:rFonts w:ascii="Aptos" w:hAnsi="Aptos"/>
                <w:sz w:val="16"/>
              </w:rPr>
              <w:t>Required before professional work begins</w:t>
            </w:r>
          </w:p>
        </w:tc>
      </w:tr>
    </w:tbl>
    <w:p>
      <w:pPr>
        <w:spacing w:after="0"/>
      </w:pPr>
    </w:p>
    <w:p>
      <w:pPr>
        <w:pStyle w:val="Heading2"/>
      </w:pPr>
      <w:r>
        <w:t>Card 2 — Clear timing from the beginning</w:t>
      </w:r>
    </w:p>
    <w:p>
      <w:r>
        <w:t>Show consultation availability and the provider’s expected response time before the user chooses. If the provider misses the expected response window, suggest an alternative match. Never connect or share information with another provider without the user’s approval.</w:t>
      </w:r>
    </w:p>
    <w:p>
      <w:pPr>
        <w:pStyle w:val="Heading2"/>
      </w:pPr>
      <w:r>
        <w:t>Card 3 — Your complete engagement record</w:t>
      </w:r>
    </w:p>
    <w:p>
      <w:r>
        <w:t>Timeline: Consultation booked · Provider confirmation · Scope and estimate · User approval · Work and documents · Completion</w:t>
      </w:r>
    </w:p>
    <w:p>
      <w:r>
        <w:t>Planned exports: PDF · CSV · API</w:t>
      </w:r>
    </w:p>
    <w:tbl>
      <w:tblPr>
        <w:tblW w:type="auto" w:w="0"/>
        <w:jc w:val="center"/>
        <w:tblLayout w:type="fixed"/>
        <w:tblLook w:firstColumn="1" w:firstRow="1" w:lastColumn="0" w:lastRow="0" w:noHBand="0" w:noVBand="1" w:val="04A0"/>
      </w:tblPr>
      <w:tblGrid>
        <w:gridCol w:w="9792"/>
      </w:tblGrid>
      <w:tr>
        <w:trPr>
          <w:cantSplit/>
        </w:trPr>
        <w:tc>
          <w:tcPr>
            <w:tcW w:type="dxa" w:w="9994"/>
            <w:shd w:fill="EEF4F7"/>
            <w:tcMar>
              <w:top w:w="90" w:type="dxa"/>
              <w:start w:w="110" w:type="dxa"/>
              <w:bottom w:w="90" w:type="dxa"/>
              <w:end w:w="110" w:type="dxa"/>
            </w:tcMar>
            <w:vAlign w:val="center"/>
          </w:tcPr>
          <w:p>
            <w:pPr>
              <w:pStyle w:val="DevNote"/>
            </w:pPr>
            <w:r>
              <w:rPr>
                <w:rFonts w:ascii="Aptos" w:hAnsi="Aptos"/>
                <w:b/>
                <w:color w:val="14A6A1"/>
                <w:sz w:val="16"/>
              </w:rPr>
              <w:t>IMPLEMENTATION RULES</w:t>
            </w:r>
          </w:p>
          <w:p>
            <w:pPr>
              <w:pStyle w:val="DevNote"/>
              <w:spacing w:after="40"/>
            </w:pPr>
            <w:r>
              <w:rPr>
                <w:rFonts w:ascii="Aptos" w:hAnsi="Aptos"/>
                <w:sz w:val="16"/>
              </w:rPr>
              <w:t>Separate the provider’s service timeline from an authority’s processing timeline. External reviews must show source, rating, count, date, and link. Credentials must show issuer and validity. Awards must show issuer, year, and relevance. BBB is U.S.-specific; use the broader label “Independent Business Verification.” Exact identifying details appear only after booking.</w:t>
            </w:r>
          </w:p>
        </w:tc>
      </w:tr>
    </w:tbl>
    <w:p>
      <w:pPr>
        <w:spacing w:after="0"/>
      </w:pPr>
    </w:p>
    <w:tbl>
      <w:tblPr>
        <w:tblW w:type="auto" w:w="0"/>
        <w:jc w:val="center"/>
        <w:tblLayout w:type="fixed"/>
        <w:tblLook w:firstColumn="1" w:firstRow="1" w:lastColumn="0" w:lastRow="0" w:noHBand="0" w:noVBand="1" w:val="04A0"/>
      </w:tblPr>
      <w:tblGrid>
        <w:gridCol w:w="9792"/>
      </w:tblGrid>
      <w:tr>
        <w:trPr>
          <w:cantSplit/>
        </w:trPr>
        <w:tc>
          <w:tcPr>
            <w:tcW w:type="dxa" w:w="9994"/>
            <w:shd w:fill="EEF4F7"/>
            <w:tcMar>
              <w:top w:w="90" w:type="dxa"/>
              <w:start w:w="110" w:type="dxa"/>
              <w:bottom w:w="90" w:type="dxa"/>
              <w:end w:w="110" w:type="dxa"/>
            </w:tcMar>
            <w:vAlign w:val="center"/>
          </w:tcPr>
          <w:p>
            <w:pPr>
              <w:pStyle w:val="DevNote"/>
            </w:pPr>
            <w:r>
              <w:rPr>
                <w:rFonts w:ascii="Aptos" w:hAnsi="Aptos"/>
                <w:b/>
                <w:color w:val="14A6A1"/>
                <w:sz w:val="16"/>
              </w:rPr>
              <w:t>CONFIRM BEFORE LAUNCH</w:t>
            </w:r>
          </w:p>
          <w:p>
            <w:pPr>
              <w:pStyle w:val="DevNote"/>
              <w:spacing w:after="40"/>
            </w:pPr>
            <w:r>
              <w:rPr>
                <w:rFonts w:ascii="Aptos" w:hAnsi="Aptos"/>
                <w:sz w:val="16"/>
              </w:rPr>
              <w:t>Confirm reviews, credential verification, award data, business-verification channels, processing-time data, engagement timeline, and each export format before launch.</w:t>
            </w:r>
          </w:p>
        </w:tc>
      </w:tr>
    </w:tbl>
    <w:p>
      <w:pPr>
        <w:spacing w:after="0"/>
      </w:pPr>
    </w:p>
    <w:p>
      <w:pPr>
        <w:pStyle w:val="Heading1"/>
      </w:pPr>
      <w:r>
        <w:t>10. User Workspace</w:t>
      </w:r>
    </w:p>
    <w:tbl>
      <w:tblPr>
        <w:tblW w:type="auto" w:w="0"/>
        <w:jc w:val="center"/>
        <w:tblLayout w:type="fixed"/>
        <w:tblLook w:firstColumn="1" w:firstRow="1" w:lastColumn="0" w:lastRow="0" w:noHBand="0" w:noVBand="1" w:val="04A0"/>
      </w:tblPr>
      <w:tblGrid>
        <w:gridCol w:w="9792"/>
      </w:tblGrid>
      <w:tr>
        <w:trPr>
          <w:cantSplit/>
        </w:trPr>
        <w:tc>
          <w:tcPr>
            <w:tcW w:type="dxa" w:w="9994"/>
            <w:shd w:fill="F2F4F5"/>
            <w:tcMar>
              <w:top w:w="90" w:type="dxa"/>
              <w:start w:w="110" w:type="dxa"/>
              <w:bottom w:w="90" w:type="dxa"/>
              <w:end w:w="110" w:type="dxa"/>
            </w:tcMar>
            <w:vAlign w:val="center"/>
          </w:tcPr>
          <w:p>
            <w:pPr>
              <w:pStyle w:val="CurrentBox"/>
            </w:pPr>
            <w:r>
              <w:rPr>
                <w:rFonts w:ascii="Aptos" w:hAnsi="Aptos"/>
                <w:b/>
                <w:color w:val="14A6A1"/>
                <w:sz w:val="16"/>
              </w:rPr>
              <w:t>CURRENT WEBSITE WORDING</w:t>
            </w:r>
          </w:p>
          <w:p>
            <w:pPr>
              <w:pStyle w:val="CurrentBox"/>
              <w:spacing w:after="40"/>
            </w:pPr>
            <w:r>
              <w:rPr>
                <w:rFonts w:ascii="Aptos" w:hAnsi="Aptos"/>
                <w:sz w:val="16"/>
              </w:rPr>
              <w:t>The original section uses “search,” “saved sessions,” “dossier,” “live news,” German fixture text, and broad promises about exports and real-time monitoring.</w:t>
            </w:r>
          </w:p>
        </w:tc>
      </w:tr>
    </w:tbl>
    <w:p>
      <w:pPr>
        <w:spacing w:after="0"/>
      </w:pPr>
    </w:p>
    <w:tbl>
      <w:tblPr>
        <w:tblW w:type="auto" w:w="0"/>
        <w:jc w:val="center"/>
        <w:tblLayout w:type="fixed"/>
        <w:tblLook w:firstColumn="1" w:firstRow="1" w:lastColumn="0" w:lastRow="0" w:noHBand="0" w:noVBand="1" w:val="04A0"/>
      </w:tblPr>
      <w:tblGrid>
        <w:gridCol w:w="9792"/>
      </w:tblGrid>
      <w:tr>
        <w:trPr>
          <w:cantSplit/>
        </w:trPr>
        <w:tc>
          <w:tcPr>
            <w:tcW w:type="dxa" w:w="9994"/>
            <w:shd w:fill="E8F7F6"/>
            <w:tcMar>
              <w:top w:w="90" w:type="dxa"/>
              <w:start w:w="110" w:type="dxa"/>
              <w:bottom w:w="90" w:type="dxa"/>
              <w:end w:w="110" w:type="dxa"/>
            </w:tcMar>
            <w:vAlign w:val="center"/>
          </w:tcPr>
          <w:p>
            <w:pPr>
              <w:pStyle w:val="ApprovedBox"/>
            </w:pPr>
            <w:r>
              <w:rPr>
                <w:rFonts w:ascii="Aptos" w:hAnsi="Aptos"/>
                <w:b/>
                <w:color w:val="14A6A1"/>
                <w:sz w:val="16"/>
              </w:rPr>
              <w:t>APPROVED REPLACEMENT</w:t>
            </w:r>
          </w:p>
          <w:p>
            <w:pPr>
              <w:pStyle w:val="ApprovedBox"/>
              <w:spacing w:after="40"/>
            </w:pPr>
            <w:r>
              <w:rPr>
                <w:rFonts w:ascii="Aptos" w:hAnsi="Aptos"/>
                <w:sz w:val="16"/>
              </w:rPr>
              <w:t>EYEBROW</w:t>
            </w:r>
          </w:p>
          <w:p>
            <w:pPr>
              <w:pStyle w:val="ApprovedBox"/>
              <w:spacing w:after="40"/>
            </w:pPr>
            <w:r>
              <w:rPr>
                <w:rFonts w:ascii="Aptos" w:hAnsi="Aptos"/>
                <w:sz w:val="16"/>
              </w:rPr>
              <w:t>Your CompliHub360 workspace</w:t>
            </w:r>
          </w:p>
          <w:p>
            <w:pPr>
              <w:pStyle w:val="ApprovedBox"/>
              <w:spacing w:after="40"/>
            </w:pPr>
            <w:r>
              <w:rPr>
                <w:rFonts w:ascii="Aptos" w:hAnsi="Aptos"/>
                <w:sz w:val="16"/>
              </w:rPr>
            </w:r>
          </w:p>
          <w:p>
            <w:pPr>
              <w:pStyle w:val="ApprovedBox"/>
              <w:spacing w:after="40"/>
            </w:pPr>
            <w:r>
              <w:rPr>
                <w:rFonts w:ascii="Aptos" w:hAnsi="Aptos"/>
                <w:sz w:val="16"/>
              </w:rPr>
              <w:t>HEADLINE</w:t>
            </w:r>
          </w:p>
          <w:p>
            <w:pPr>
              <w:pStyle w:val="ApprovedBox"/>
              <w:spacing w:after="40"/>
            </w:pPr>
            <w:r>
              <w:rPr>
                <w:rFonts w:ascii="Aptos" w:hAnsi="Aptos"/>
                <w:sz w:val="16"/>
              </w:rPr>
              <w:t>Your compliance work, organized in one place.</w:t>
            </w:r>
          </w:p>
          <w:p>
            <w:pPr>
              <w:pStyle w:val="ApprovedBox"/>
              <w:spacing w:after="40"/>
            </w:pPr>
            <w:r>
              <w:rPr>
                <w:rFonts w:ascii="Aptos" w:hAnsi="Aptos"/>
                <w:sz w:val="16"/>
              </w:rPr>
            </w:r>
          </w:p>
          <w:p>
            <w:pPr>
              <w:pStyle w:val="ApprovedBox"/>
              <w:spacing w:after="40"/>
            </w:pPr>
            <w:r>
              <w:rPr>
                <w:rFonts w:ascii="Aptos" w:hAnsi="Aptos"/>
                <w:sz w:val="16"/>
              </w:rPr>
              <w:t>SUBTITLE</w:t>
            </w:r>
          </w:p>
          <w:p>
            <w:pPr>
              <w:pStyle w:val="ApprovedBox"/>
              <w:spacing w:after="40"/>
            </w:pPr>
            <w:r>
              <w:rPr>
                <w:rFonts w:ascii="Aptos" w:hAnsi="Aptos"/>
                <w:sz w:val="16"/>
              </w:rPr>
              <w:t>Save your Risk Maps, matches, consultations, deadlines, documents, and engagement history.</w:t>
            </w:r>
          </w:p>
        </w:tc>
      </w:tr>
    </w:tbl>
    <w:p>
      <w:pPr>
        <w:spacing w:after="0"/>
      </w:pPr>
    </w:p>
    <w:p>
      <w:pPr>
        <w:pStyle w:val="Heading2"/>
      </w:pPr>
      <w:r>
        <w:t>Tile 1 — Everything stays organized and available</w:t>
      </w:r>
    </w:p>
    <w:p>
      <w:pPr>
        <w:pStyle w:val="ListBullet"/>
      </w:pPr>
      <w:r>
        <w:t>Start New Assessment</w:t>
      </w:r>
    </w:p>
    <w:p>
      <w:pPr>
        <w:pStyle w:val="ListBullet"/>
      </w:pPr>
      <w:r>
        <w:t>Continue Where You Left Off</w:t>
      </w:r>
    </w:p>
    <w:p>
      <w:pPr>
        <w:pStyle w:val="ListBullet"/>
      </w:pPr>
      <w:r>
        <w:t>Active Consultations and Engagements</w:t>
      </w:r>
    </w:p>
    <w:p>
      <w:pPr>
        <w:pStyle w:val="ListBullet"/>
      </w:pPr>
      <w:r>
        <w:t>Saved Risk Maps</w:t>
      </w:r>
    </w:p>
    <w:p>
      <w:pPr>
        <w:pStyle w:val="Heading2"/>
      </w:pPr>
      <w:r>
        <w:t>Tile 2 — Regulatory updates relevant to your business</w:t>
      </w:r>
    </w:p>
    <w:p>
      <w:r>
        <w:t>Each update should identify the authority, market, requirement, effective date, official source, and relevance to the user’s business profile.</w:t>
      </w:r>
    </w:p>
    <w:p>
      <w:pPr>
        <w:pStyle w:val="Heading2"/>
      </w:pPr>
      <w:r>
        <w:t>Tile 3 — Learn from trusted professionals</w:t>
      </w:r>
    </w:p>
    <w:p>
      <w:r>
        <w:t>Offer practical guides, webinars, and tutorials from qualified professionals. Remove claims such as “experts you recognize from YouTube.”</w:t>
      </w:r>
    </w:p>
    <w:tbl>
      <w:tblPr>
        <w:tblW w:type="auto" w:w="0"/>
        <w:jc w:val="center"/>
        <w:tblLayout w:type="fixed"/>
        <w:tblLook w:firstColumn="1" w:firstRow="1" w:lastColumn="0" w:lastRow="0" w:noHBand="0" w:noVBand="1" w:val="04A0"/>
      </w:tblPr>
      <w:tblGrid>
        <w:gridCol w:w="9792"/>
      </w:tblGrid>
      <w:tr>
        <w:trPr>
          <w:cantSplit/>
        </w:trPr>
        <w:tc>
          <w:tcPr>
            <w:tcW w:type="dxa" w:w="9994"/>
            <w:shd w:fill="EEF4F7"/>
            <w:tcMar>
              <w:top w:w="90" w:type="dxa"/>
              <w:start w:w="110" w:type="dxa"/>
              <w:bottom w:w="90" w:type="dxa"/>
              <w:end w:w="110" w:type="dxa"/>
            </w:tcMar>
            <w:vAlign w:val="center"/>
          </w:tcPr>
          <w:p>
            <w:pPr>
              <w:pStyle w:val="DevNote"/>
            </w:pPr>
            <w:r>
              <w:rPr>
                <w:rFonts w:ascii="Aptos" w:hAnsi="Aptos"/>
                <w:b/>
                <w:color w:val="14A6A1"/>
                <w:sz w:val="16"/>
              </w:rPr>
              <w:t>CONFIRM BEFORE LAUNCH</w:t>
            </w:r>
          </w:p>
          <w:p>
            <w:pPr>
              <w:pStyle w:val="DevNote"/>
              <w:spacing w:after="40"/>
            </w:pPr>
            <w:r>
              <w:rPr>
                <w:rFonts w:ascii="Aptos" w:hAnsi="Aptos"/>
                <w:sz w:val="16"/>
              </w:rPr>
              <w:t>Label capabilities accurately as “Available now” or “Coming in beta.” Update labels at launch and remove all German-language fixture strings from the English interface.</w:t>
            </w:r>
          </w:p>
        </w:tc>
      </w:tr>
    </w:tbl>
    <w:p>
      <w:pPr>
        <w:spacing w:after="0"/>
      </w:pPr>
    </w:p>
    <w:p>
      <w:r>
        <w:br w:type="page"/>
      </w:r>
    </w:p>
    <w:p>
      <w:pPr>
        <w:pStyle w:val="Heading1"/>
      </w:pPr>
      <w:r>
        <w:t>11. Frequently Asked Questions</w:t>
      </w:r>
    </w:p>
    <w:tbl>
      <w:tblPr>
        <w:tblW w:type="auto" w:w="0"/>
        <w:jc w:val="center"/>
        <w:tblLayout w:type="fixed"/>
        <w:tblLook w:firstColumn="1" w:firstRow="1" w:lastColumn="0" w:lastRow="0" w:noHBand="0" w:noVBand="1" w:val="04A0"/>
      </w:tblPr>
      <w:tblGrid>
        <w:gridCol w:w="9792"/>
      </w:tblGrid>
      <w:tr>
        <w:trPr>
          <w:cantSplit/>
        </w:trPr>
        <w:tc>
          <w:tcPr>
            <w:tcW w:type="dxa" w:w="9994"/>
            <w:shd w:fill="F2F4F5"/>
            <w:tcMar>
              <w:top w:w="90" w:type="dxa"/>
              <w:start w:w="110" w:type="dxa"/>
              <w:bottom w:w="90" w:type="dxa"/>
              <w:end w:w="110" w:type="dxa"/>
            </w:tcMar>
            <w:vAlign w:val="center"/>
          </w:tcPr>
          <w:p>
            <w:pPr>
              <w:pStyle w:val="CurrentBox"/>
            </w:pPr>
            <w:r>
              <w:rPr>
                <w:rFonts w:ascii="Aptos" w:hAnsi="Aptos"/>
                <w:b/>
                <w:color w:val="14A6A1"/>
                <w:sz w:val="16"/>
              </w:rPr>
              <w:t>CURRENT WEBSITE WORDING</w:t>
            </w:r>
          </w:p>
          <w:p>
            <w:pPr>
              <w:pStyle w:val="CurrentBox"/>
              <w:spacing w:after="40"/>
            </w:pPr>
            <w:r>
              <w:rPr>
                <w:rFonts w:ascii="Aptos" w:hAnsi="Aptos"/>
                <w:sz w:val="16"/>
              </w:rPr>
              <w:t>The original FAQ contains nine short questions, including broad claims about fixed pricing, automatic provider rerouting, shared accountability, EU-only data rules, encryption, and unlimited export formats.</w:t>
            </w:r>
          </w:p>
        </w:tc>
      </w:tr>
    </w:tbl>
    <w:p>
      <w:pPr>
        <w:spacing w:after="0"/>
      </w:pPr>
    </w:p>
    <w:tbl>
      <w:tblPr>
        <w:tblW w:type="auto" w:w="0"/>
        <w:jc w:val="center"/>
        <w:tblLayout w:type="fixed"/>
        <w:tblLook w:firstColumn="1" w:firstRow="1" w:lastColumn="0" w:lastRow="0" w:noHBand="0" w:noVBand="1" w:val="04A0"/>
      </w:tblPr>
      <w:tblGrid>
        <w:gridCol w:w="9792"/>
      </w:tblGrid>
      <w:tr>
        <w:trPr>
          <w:cantSplit/>
        </w:trPr>
        <w:tc>
          <w:tcPr>
            <w:tcW w:type="dxa" w:w="9994"/>
            <w:shd w:fill="E8F7F6"/>
            <w:tcMar>
              <w:top w:w="90" w:type="dxa"/>
              <w:start w:w="110" w:type="dxa"/>
              <w:bottom w:w="90" w:type="dxa"/>
              <w:end w:w="110" w:type="dxa"/>
            </w:tcMar>
            <w:vAlign w:val="center"/>
          </w:tcPr>
          <w:p>
            <w:pPr>
              <w:pStyle w:val="ApprovedBox"/>
            </w:pPr>
            <w:r>
              <w:rPr>
                <w:rFonts w:ascii="Aptos" w:hAnsi="Aptos"/>
                <w:b/>
                <w:color w:val="14A6A1"/>
                <w:sz w:val="16"/>
              </w:rPr>
              <w:t>APPROVED REPLACEMENT</w:t>
            </w:r>
          </w:p>
          <w:p>
            <w:pPr>
              <w:pStyle w:val="ApprovedBox"/>
              <w:spacing w:after="40"/>
            </w:pPr>
            <w:r>
              <w:rPr>
                <w:rFonts w:ascii="Aptos" w:hAnsi="Aptos"/>
                <w:sz w:val="16"/>
              </w:rPr>
              <w:t>HEADING</w:t>
            </w:r>
          </w:p>
          <w:p>
            <w:pPr>
              <w:pStyle w:val="ApprovedBox"/>
              <w:spacing w:after="40"/>
            </w:pPr>
            <w:r>
              <w:rPr>
                <w:rFonts w:ascii="Aptos" w:hAnsi="Aptos"/>
                <w:sz w:val="16"/>
              </w:rPr>
              <w:t>Frequently Asked Questions</w:t>
            </w:r>
          </w:p>
          <w:p>
            <w:pPr>
              <w:pStyle w:val="ApprovedBox"/>
              <w:spacing w:after="40"/>
            </w:pPr>
            <w:r>
              <w:rPr>
                <w:rFonts w:ascii="Aptos" w:hAnsi="Aptos"/>
                <w:sz w:val="16"/>
              </w:rPr>
            </w:r>
          </w:p>
          <w:p>
            <w:pPr>
              <w:pStyle w:val="ApprovedBox"/>
              <w:spacing w:after="40"/>
            </w:pPr>
            <w:r>
              <w:rPr>
                <w:rFonts w:ascii="Aptos" w:hAnsi="Aptos"/>
                <w:sz w:val="16"/>
              </w:rPr>
              <w:t>SUBHEADING</w:t>
            </w:r>
          </w:p>
          <w:p>
            <w:pPr>
              <w:pStyle w:val="ApprovedBox"/>
              <w:spacing w:after="40"/>
            </w:pPr>
            <w:r>
              <w:rPr>
                <w:rFonts w:ascii="Aptos" w:hAnsi="Aptos"/>
                <w:sz w:val="16"/>
              </w:rPr>
              <w:t>Questions? Start here.</w:t>
            </w:r>
          </w:p>
        </w:tc>
      </w:tr>
    </w:tbl>
    <w:p>
      <w:pPr>
        <w:spacing w:after="0"/>
      </w:pPr>
    </w:p>
    <w:p>
      <w:pPr>
        <w:pStyle w:val="Heading2"/>
      </w:pPr>
      <w:r>
        <w:t>Assessment &amp; Risk Map</w:t>
      </w:r>
    </w:p>
    <w:p>
      <w:pPr>
        <w:keepNext/>
      </w:pPr>
      <w:r>
        <w:rPr>
          <w:b/>
          <w:color w:val="14A6A1"/>
          <w:sz w:val="18"/>
        </w:rPr>
        <w:t>IS THE ASSESSMENT FREE?</w:t>
      </w:r>
    </w:p>
    <w:p>
      <w:pPr>
        <w:ind w:left="173"/>
      </w:pPr>
      <w:r>
        <w:t>Yes. You can complete the assessment and view your Risk Map without an account or payment. A free account lets you save and update your Risk Map, see your best matches, book consultations, and receive available alerts.</w:t>
      </w:r>
    </w:p>
    <w:p>
      <w:pPr>
        <w:keepNext/>
      </w:pPr>
      <w:r>
        <w:rPr>
          <w:b/>
          <w:color w:val="14A6A1"/>
          <w:sz w:val="18"/>
        </w:rPr>
        <w:t>HOW PERSONALIZED IS MY RISK MAP?</w:t>
      </w:r>
    </w:p>
    <w:p>
      <w:pPr>
        <w:ind w:left="173"/>
      </w:pPr>
      <w:r>
        <w:t>Your Risk Map is based on the markets, business model, products or services, activities, and areas of support you select. The more complete your answers are, the more relevant the results can be. We will identify when more information is needed.</w:t>
      </w:r>
    </w:p>
    <w:p>
      <w:pPr>
        <w:keepNext/>
      </w:pPr>
      <w:r>
        <w:rPr>
          <w:b/>
          <w:color w:val="14A6A1"/>
          <w:sz w:val="18"/>
        </w:rPr>
        <w:t>WHAT IF I AM UNSURE ABOUT AN ANSWER?</w:t>
      </w:r>
    </w:p>
    <w:p>
      <w:pPr>
        <w:ind w:left="173"/>
      </w:pPr>
      <w:r>
        <w:t>You can skip questions you are unsure about, return to them later, or request professional support when confirmation is needed.</w:t>
      </w:r>
    </w:p>
    <w:p>
      <w:pPr>
        <w:keepNext/>
      </w:pPr>
      <w:r>
        <w:rPr>
          <w:b/>
          <w:color w:val="14A6A1"/>
          <w:sz w:val="18"/>
        </w:rPr>
        <w:t>WHAT DO THE RISK MAP STATUSES MEAN?</w:t>
      </w:r>
    </w:p>
    <w:p>
      <w:pPr>
        <w:ind w:left="173"/>
      </w:pPr>
      <w:r>
        <w:t>Confirmed means the requirement applies based on your answers. Likely to Apply means it probably applies, but more information or professional confirmation may be needed. More Information Needed means additional answers are required for a more accurate assessment.</w:t>
      </w:r>
    </w:p>
    <w:p>
      <w:pPr>
        <w:keepNext/>
      </w:pPr>
      <w:r>
        <w:rPr>
          <w:b/>
          <w:color w:val="14A6A1"/>
          <w:sz w:val="18"/>
        </w:rPr>
        <w:t>WHERE DOES THE INFORMATION COME FROM?</w:t>
      </w:r>
    </w:p>
    <w:p>
      <w:pPr>
        <w:ind w:left="173"/>
      </w:pPr>
      <w:r>
        <w:t>Regulatory information is based on official authority sources. Where available, we show the authority, source link, relevant date, and when the information was last reviewed.</w:t>
      </w:r>
    </w:p>
    <w:p>
      <w:pPr>
        <w:keepNext/>
      </w:pPr>
      <w:r>
        <w:rPr>
          <w:b/>
          <w:color w:val="14A6A1"/>
          <w:sz w:val="18"/>
        </w:rPr>
        <w:t>CAN I ASSESS SEVERAL MARKETS OR AREAS AT ONCE?</w:t>
      </w:r>
    </w:p>
    <w:p>
      <w:pPr>
        <w:ind w:left="173"/>
      </w:pPr>
      <w:r>
        <w:t>Yes. You can include multiple markets and areas of support in one organized Risk Map.</w:t>
      </w:r>
    </w:p>
    <w:p>
      <w:pPr>
        <w:keepNext/>
      </w:pPr>
      <w:r>
        <w:rPr>
          <w:b/>
          <w:color w:val="14A6A1"/>
          <w:sz w:val="18"/>
        </w:rPr>
        <w:t>CAN I CHANGE MY ANSWERS OR UPDATE MY RISK MAP?</w:t>
      </w:r>
    </w:p>
    <w:p>
      <w:pPr>
        <w:ind w:left="173"/>
      </w:pPr>
      <w:r>
        <w:t>Yes. Update your answers when your activities, markets, products, or business structure change.</w:t>
      </w:r>
    </w:p>
    <w:p>
      <w:pPr>
        <w:keepNext/>
      </w:pPr>
      <w:r>
        <w:rPr>
          <w:b/>
          <w:color w:val="14A6A1"/>
          <w:sz w:val="18"/>
        </w:rPr>
        <w:t>CAN I EXPORT MY INFORMATION?</w:t>
      </w:r>
    </w:p>
    <w:p>
      <w:pPr>
        <w:ind w:left="173"/>
      </w:pPr>
      <w:r>
        <w:t>You can export your Risk Map as a PDF. Depending on availability and your account features, engagement records may also be available as PDF, CSV, or through an API.</w:t>
      </w:r>
    </w:p>
    <w:p>
      <w:pPr>
        <w:keepNext/>
      </w:pPr>
      <w:r>
        <w:rPr>
          <w:b/>
          <w:color w:val="14A6A1"/>
          <w:sz w:val="18"/>
        </w:rPr>
        <w:t>WHAT IF MY MARKET IS NOT AVAILABLE?</w:t>
      </w:r>
    </w:p>
    <w:p>
      <w:pPr>
        <w:ind w:left="173"/>
      </w:pPr>
      <w:r>
        <w:t>You can request an additional market and, where available, choose to receive an alert when coverage becomes available.</w:t>
      </w:r>
    </w:p>
    <w:p>
      <w:pPr>
        <w:pStyle w:val="Heading2"/>
      </w:pPr>
      <w:r>
        <w:t>Providers &amp; Engagements</w:t>
      </w:r>
    </w:p>
    <w:p>
      <w:pPr>
        <w:keepNext/>
      </w:pPr>
      <w:r>
        <w:rPr>
          <w:b/>
          <w:color w:val="14A6A1"/>
          <w:sz w:val="18"/>
        </w:rPr>
        <w:t>DOES COMPLIHUB360 PROVIDE LEGAL, TAX, ACCOUNTING, OR OTHER PROFESSIONAL ADVICE?</w:t>
      </w:r>
    </w:p>
    <w:p>
      <w:pPr>
        <w:ind w:left="173"/>
      </w:pPr>
      <w:r>
        <w:t>No. CompliHub360 provides compliance information and matching services. We are not a law firm, accounting firm, tax adviser, customs broker, or regulatory authority. Advice and professional services are provided independently by the selected provider.</w:t>
      </w:r>
    </w:p>
    <w:p>
      <w:pPr>
        <w:keepNext/>
      </w:pPr>
      <w:r>
        <w:rPr>
          <w:b/>
          <w:color w:val="14A6A1"/>
          <w:sz w:val="18"/>
        </w:rPr>
        <w:t>HOW ARE PROVIDERS REVIEWED?</w:t>
      </w:r>
    </w:p>
    <w:p>
      <w:pPr>
        <w:ind w:left="173"/>
      </w:pPr>
      <w:r>
        <w:t>Providers are reviewed against applicable criteria such as qualifications, expertise, market coverage, business information, experience, and service standards. Where available, we may also verify licenses, certifications, response history, reviews, and completed engagements.</w:t>
      </w:r>
    </w:p>
    <w:p>
      <w:pPr>
        <w:keepNext/>
      </w:pPr>
      <w:r>
        <w:rPr>
          <w:b/>
          <w:color w:val="14A6A1"/>
          <w:sz w:val="18"/>
        </w:rPr>
        <w:t>WHY ARE PROVIDER NAMES HIDDEN AT FIRST?</w:t>
      </w:r>
    </w:p>
    <w:p>
      <w:pPr>
        <w:ind w:left="173"/>
      </w:pPr>
      <w:r>
        <w:t>Provider names remain hidden during the initial comparison so you can focus on expertise and fit rather than brand recognition. This also gives providers of different sizes a fair opportunity to be selected.</w:t>
      </w:r>
    </w:p>
    <w:p>
      <w:pPr>
        <w:keepNext/>
      </w:pPr>
      <w:r>
        <w:rPr>
          <w:b/>
          <w:color w:val="14A6A1"/>
          <w:sz w:val="18"/>
        </w:rPr>
        <w:t>WHEN WILL I SEE THE PROVIDER’S NAME AND FULL PROFILE?</w:t>
      </w:r>
    </w:p>
    <w:p>
      <w:pPr>
        <w:ind w:left="173"/>
      </w:pPr>
      <w:r>
        <w:t>The provider’s identity and full profile are revealed after you choose the provider and book a consultation. You can then review its verified credentials, reviews, business-verification information, and contact details.</w:t>
      </w:r>
    </w:p>
    <w:p>
      <w:pPr>
        <w:keepNext/>
      </w:pPr>
      <w:r>
        <w:rPr>
          <w:b/>
          <w:color w:val="14A6A1"/>
          <w:sz w:val="18"/>
        </w:rPr>
        <w:t>CAN PROVIDERS PAY TO APPEAR HIGHER IN MY MATCHES?</w:t>
      </w:r>
    </w:p>
    <w:p>
      <w:pPr>
        <w:ind w:left="173"/>
      </w:pPr>
      <w:r>
        <w:t>No. Matching and ranking are based on relevant criteria and cannot be purchased. Advertising budgets, brand size, and commercial arrangements do not determine your best matches.</w:t>
      </w:r>
    </w:p>
    <w:p>
      <w:pPr>
        <w:keepNext/>
      </w:pPr>
      <w:r>
        <w:rPr>
          <w:b/>
          <w:color w:val="14A6A1"/>
          <w:sz w:val="18"/>
        </w:rPr>
        <w:t>HOW MUCH WILL THE SERVICE COST?</w:t>
      </w:r>
    </w:p>
    <w:p>
      <w:pPr>
        <w:ind w:left="173"/>
      </w:pPr>
      <w:r>
        <w:t>You see an expected price range before choosing a provider. After the consultation, the provider confirms the services, final price, expected timeline, and terms. Professional work begins only after you approve them.</w:t>
      </w:r>
    </w:p>
    <w:p>
      <w:pPr>
        <w:keepNext/>
      </w:pPr>
      <w:r>
        <w:rPr>
          <w:b/>
          <w:color w:val="14A6A1"/>
          <w:sz w:val="18"/>
        </w:rPr>
        <w:t>HOW QUICKLY WILL A PROVIDER RESPOND?</w:t>
      </w:r>
    </w:p>
    <w:p>
      <w:pPr>
        <w:ind w:left="173"/>
      </w:pPr>
      <w:r>
        <w:t>The provider’s expected response time is shown before you choose. If the provider does not respond within that period, CompliHub360 can suggest another match. Your information will not be shared with another provider without your approval.</w:t>
      </w:r>
    </w:p>
    <w:p>
      <w:pPr>
        <w:keepNext/>
      </w:pPr>
      <w:r>
        <w:rPr>
          <w:b/>
          <w:color w:val="14A6A1"/>
          <w:sz w:val="18"/>
        </w:rPr>
        <w:t>CAN I CHOOSE MORE THAN ONE PROVIDER?</w:t>
      </w:r>
    </w:p>
    <w:p>
      <w:pPr>
        <w:ind w:left="173"/>
      </w:pPr>
      <w:r>
        <w:t>Yes. You can select and book consultations with more than one provider. Each booking and professional engagement remains separate.</w:t>
      </w:r>
    </w:p>
    <w:p>
      <w:pPr>
        <w:keepNext/>
      </w:pPr>
      <w:r>
        <w:rPr>
          <w:b/>
          <w:color w:val="14A6A1"/>
          <w:sz w:val="18"/>
        </w:rPr>
        <w:t>WHAT HAPPENS AFTER I BOOK?</w:t>
      </w:r>
    </w:p>
    <w:p>
      <w:pPr>
        <w:ind w:left="173"/>
      </w:pPr>
      <w:r>
        <w:t>The provider’s identity and full profile are revealed, and only the information needed to process your request is shared. The provider then confirms the service, price, timeline, and terms. No professional work begins until you approve it.</w:t>
      </w:r>
    </w:p>
    <w:p>
      <w:pPr>
        <w:keepNext/>
      </w:pPr>
      <w:r>
        <w:rPr>
          <w:b/>
          <w:color w:val="14A6A1"/>
          <w:sz w:val="18"/>
        </w:rPr>
        <w:t>AM I REQUIRED TO CONTINUE WITH THE PROVIDER AFTER THE CONSULTATION?</w:t>
      </w:r>
    </w:p>
    <w:p>
      <w:pPr>
        <w:ind w:left="173"/>
      </w:pPr>
      <w:r>
        <w:t>No. Booking a consultation does not require you to begin a professional engagement.</w:t>
      </w:r>
    </w:p>
    <w:p>
      <w:pPr>
        <w:keepNext/>
      </w:pPr>
      <w:r>
        <w:rPr>
          <w:b/>
          <w:color w:val="14A6A1"/>
          <w:sz w:val="18"/>
        </w:rPr>
        <w:t>HOW DOES COMPLIHUB360 SUPPORT FREE ACCESS FOR USERS?</w:t>
      </w:r>
    </w:p>
    <w:p>
      <w:pPr>
        <w:ind w:left="173"/>
      </w:pPr>
      <w:r>
        <w:t>CompliHub360 is free for businesses seeking support. We earn revenue through our commercial relationships with participating providers. These arrangements never influence which providers appear in your matches or how they are ranked.</w:t>
      </w:r>
    </w:p>
    <w:p>
      <w:pPr>
        <w:pStyle w:val="Heading2"/>
      </w:pPr>
      <w:r>
        <w:t>Account, Data &amp; Privacy</w:t>
      </w:r>
    </w:p>
    <w:p>
      <w:pPr>
        <w:keepNext/>
      </w:pPr>
      <w:r>
        <w:rPr>
          <w:b/>
          <w:color w:val="14A6A1"/>
          <w:sz w:val="18"/>
        </w:rPr>
        <w:t>DO I NEED AN ACCOUNT?</w:t>
      </w:r>
    </w:p>
    <w:p>
      <w:pPr>
        <w:ind w:left="173"/>
      </w:pPr>
      <w:r>
        <w:t>No account is required to ask a question, complete the assessment, or view your initial Risk Map. A free account is required to save and update results, see your best matches, book consultations, and use available workspace features.</w:t>
      </w:r>
    </w:p>
    <w:p>
      <w:pPr>
        <w:keepNext/>
      </w:pPr>
      <w:r>
        <w:rPr>
          <w:b/>
          <w:color w:val="14A6A1"/>
          <w:sz w:val="18"/>
        </w:rPr>
        <w:t>HOW IS MY INFORMATION USED?</w:t>
      </w:r>
    </w:p>
    <w:p>
      <w:pPr>
        <w:ind w:left="173"/>
      </w:pPr>
      <w:r>
        <w:t>We use your information to provide the services you request, personalize relevant results, operate your account, and support the matching and booking process, as explained in our Privacy Policy.</w:t>
      </w:r>
    </w:p>
    <w:p>
      <w:pPr>
        <w:keepNext/>
      </w:pPr>
      <w:r>
        <w:rPr>
          <w:b/>
          <w:color w:val="14A6A1"/>
          <w:sz w:val="18"/>
        </w:rPr>
        <w:t>WHAT INFORMATION IS SHARED WITH A PROVIDER?</w:t>
      </w:r>
    </w:p>
    <w:p>
      <w:pPr>
        <w:ind w:left="173"/>
      </w:pPr>
      <w:r>
        <w:t>If you choose to connect or book, we share only the information needed to process your request. You should be shown what will be shared before the connection is completed.</w:t>
      </w:r>
    </w:p>
    <w:p>
      <w:pPr>
        <w:keepNext/>
      </w:pPr>
      <w:r>
        <w:rPr>
          <w:b/>
          <w:color w:val="14A6A1"/>
          <w:sz w:val="18"/>
        </w:rPr>
        <w:t>WHEN IS MY INFORMATION SHARED?</w:t>
      </w:r>
    </w:p>
    <w:p>
      <w:pPr>
        <w:ind w:left="173"/>
      </w:pPr>
      <w:r>
        <w:t>Your information is shared after you choose to connect or book with a provider and complete the relevant confirmation step. It is not automatically shared with every provider shown in your matches.</w:t>
      </w:r>
    </w:p>
    <w:p>
      <w:pPr>
        <w:keepNext/>
      </w:pPr>
      <w:r>
        <w:rPr>
          <w:b/>
          <w:color w:val="14A6A1"/>
          <w:sz w:val="18"/>
        </w:rPr>
        <w:t>DOES COMPLIHUB360 SELL MY PERSONAL OR BUSINESS INFORMATION?</w:t>
      </w:r>
    </w:p>
    <w:p>
      <w:pPr>
        <w:ind w:left="173"/>
      </w:pPr>
      <w:r>
        <w:t>No. CompliHub360 does not sell your personal or business information to unrelated third parties.</w:t>
        <w:br/>
        <w:br/>
        <w:t>If you choose to connect or book with a service provider, we share only the information needed to process your request, as explained in our Privacy Policy.</w:t>
      </w:r>
    </w:p>
    <w:p>
      <w:pPr>
        <w:keepNext/>
      </w:pPr>
      <w:r>
        <w:rPr>
          <w:b/>
          <w:color w:val="14A6A1"/>
          <w:sz w:val="18"/>
        </w:rPr>
        <w:t>HOW IS MY INFORMATION PROTECTED?</w:t>
      </w:r>
    </w:p>
    <w:p>
      <w:pPr>
        <w:ind w:left="173"/>
      </w:pPr>
      <w:r>
        <w:t>We use appropriate technical and organizational measures designed to protect personal and business information. Additional details are provided in our Privacy Policy and security information.</w:t>
      </w:r>
    </w:p>
    <w:p>
      <w:pPr>
        <w:keepNext/>
      </w:pPr>
      <w:r>
        <w:rPr>
          <w:b/>
          <w:color w:val="14A6A1"/>
          <w:sz w:val="18"/>
        </w:rPr>
        <w:t>CAN I CONTROL NOTIFICATIONS?</w:t>
      </w:r>
    </w:p>
    <w:p>
      <w:pPr>
        <w:ind w:left="173"/>
      </w:pPr>
      <w:r>
        <w:t>Yes. Where notification features are available, you can manage your email and regulatory-alert preferences from your account or use the unsubscribe option provided in the message.</w:t>
      </w:r>
    </w:p>
    <w:p>
      <w:pPr>
        <w:keepNext/>
      </w:pPr>
      <w:r>
        <w:rPr>
          <w:b/>
          <w:color w:val="14A6A1"/>
          <w:sz w:val="18"/>
        </w:rPr>
        <w:t>CAN I DELETE MY ACCOUNT OR REQUEST DELETION OF MY INFORMATION?</w:t>
      </w:r>
    </w:p>
    <w:p>
      <w:pPr>
        <w:ind w:left="173"/>
      </w:pPr>
      <w:r>
        <w:t>You can request account deletion and exercise applicable privacy rights as explained in our Privacy Policy. Some information may need to be retained where required by law or for legitimate recordkeeping purposes.</w:t>
      </w:r>
    </w:p>
    <w:p>
      <w:pPr>
        <w:keepNext/>
      </w:pPr>
      <w:r>
        <w:rPr>
          <w:b/>
          <w:color w:val="14A6A1"/>
          <w:sz w:val="18"/>
        </w:rPr>
        <w:t>WHERE IS MY INFORMATION STORED?</w:t>
      </w:r>
    </w:p>
    <w:p>
      <w:pPr>
        <w:ind w:left="173"/>
      </w:pPr>
      <w:r>
        <w:t>Information is stored and processed through service providers and locations described in our Privacy Policy. Applicable safeguards are used where information is transferred between countries.</w:t>
      </w:r>
    </w:p>
    <w:tbl>
      <w:tblPr>
        <w:tblW w:type="auto" w:w="0"/>
        <w:jc w:val="center"/>
        <w:tblLayout w:type="fixed"/>
        <w:tblLook w:firstColumn="1" w:firstRow="1" w:lastColumn="0" w:lastRow="0" w:noHBand="0" w:noVBand="1" w:val="04A0"/>
      </w:tblPr>
      <w:tblGrid>
        <w:gridCol w:w="9792"/>
      </w:tblGrid>
      <w:tr>
        <w:trPr>
          <w:cantSplit/>
        </w:trPr>
        <w:tc>
          <w:tcPr>
            <w:tcW w:type="dxa" w:w="9994"/>
            <w:shd w:fill="EEF4F7"/>
            <w:tcMar>
              <w:top w:w="90" w:type="dxa"/>
              <w:start w:w="110" w:type="dxa"/>
              <w:bottom w:w="90" w:type="dxa"/>
              <w:end w:w="110" w:type="dxa"/>
            </w:tcMar>
            <w:vAlign w:val="center"/>
          </w:tcPr>
          <w:p>
            <w:pPr>
              <w:pStyle w:val="DevNote"/>
            </w:pPr>
            <w:r>
              <w:rPr>
                <w:rFonts w:ascii="Aptos" w:hAnsi="Aptos"/>
                <w:b/>
                <w:color w:val="14A6A1"/>
                <w:sz w:val="16"/>
              </w:rPr>
              <w:t>LEGAL AND IMPLEMENTATION RULE</w:t>
            </w:r>
          </w:p>
          <w:p>
            <w:pPr>
              <w:pStyle w:val="DevNote"/>
              <w:spacing w:after="40"/>
            </w:pPr>
            <w:r>
              <w:rPr>
                <w:rFonts w:ascii="Aptos" w:hAnsi="Aptos"/>
                <w:sz w:val="16"/>
              </w:rPr>
              <w:t>The landing page must not disclose detailed provider subscription, booking, lead, or affiliate fee mechanics. Keep storage location and security wording aligned with implemented infrastructure and the final Privacy Policy.</w:t>
            </w:r>
          </w:p>
        </w:tc>
      </w:tr>
    </w:tbl>
    <w:p>
      <w:pPr>
        <w:spacing w:after="0"/>
      </w:pPr>
    </w:p>
    <w:p>
      <w:pPr>
        <w:pStyle w:val="Heading1"/>
      </w:pPr>
      <w:r>
        <w:t>12. Newsletter and Footer</w:t>
      </w:r>
    </w:p>
    <w:p>
      <w:pPr>
        <w:pStyle w:val="Heading2"/>
      </w:pPr>
      <w:r>
        <w:t>12A. Newsletter</w:t>
      </w:r>
    </w:p>
    <w:tbl>
      <w:tblPr>
        <w:tblW w:type="auto" w:w="0"/>
        <w:jc w:val="center"/>
        <w:tblLayout w:type="fixed"/>
        <w:tblLook w:firstColumn="1" w:firstRow="1" w:lastColumn="0" w:lastRow="0" w:noHBand="0" w:noVBand="1" w:val="04A0"/>
      </w:tblPr>
      <w:tblGrid>
        <w:gridCol w:w="9792"/>
      </w:tblGrid>
      <w:tr>
        <w:trPr>
          <w:cantSplit/>
        </w:trPr>
        <w:tc>
          <w:tcPr>
            <w:tcW w:type="dxa" w:w="9994"/>
            <w:shd w:fill="F2F4F5"/>
            <w:tcMar>
              <w:top w:w="90" w:type="dxa"/>
              <w:start w:w="110" w:type="dxa"/>
              <w:bottom w:w="90" w:type="dxa"/>
              <w:end w:w="110" w:type="dxa"/>
            </w:tcMar>
            <w:vAlign w:val="center"/>
          </w:tcPr>
          <w:p>
            <w:pPr>
              <w:pStyle w:val="CurrentBox"/>
            </w:pPr>
            <w:r>
              <w:rPr>
                <w:rFonts w:ascii="Aptos" w:hAnsi="Aptos"/>
                <w:b/>
                <w:color w:val="14A6A1"/>
                <w:sz w:val="16"/>
              </w:rPr>
              <w:t>CURRENT WEBSITE WORDING</w:t>
            </w:r>
          </w:p>
          <w:p>
            <w:pPr>
              <w:pStyle w:val="CurrentBox"/>
              <w:spacing w:after="40"/>
            </w:pPr>
            <w:r>
              <w:rPr>
                <w:rFonts w:ascii="Aptos" w:hAnsi="Aptos"/>
                <w:sz w:val="16"/>
              </w:rPr>
              <w:t>Stay current</w:t>
            </w:r>
          </w:p>
          <w:p>
            <w:pPr>
              <w:pStyle w:val="CurrentBox"/>
              <w:spacing w:after="40"/>
            </w:pPr>
            <w:r>
              <w:rPr>
                <w:rFonts w:ascii="Aptos" w:hAnsi="Aptos"/>
                <w:sz w:val="16"/>
              </w:rPr>
              <w:t>When a regulation moves, you’ll know.</w:t>
            </w:r>
          </w:p>
          <w:p>
            <w:pPr>
              <w:pStyle w:val="CurrentBox"/>
              <w:spacing w:after="40"/>
            </w:pPr>
            <w:r>
              <w:rPr>
                <w:rFonts w:ascii="Aptos" w:hAnsi="Aptos"/>
                <w:sz w:val="16"/>
              </w:rPr>
              <w:t>One brief per month. New thresholds, deadlines, and authoritative source links...</w:t>
            </w:r>
          </w:p>
          <w:p>
            <w:pPr>
              <w:pStyle w:val="CurrentBox"/>
              <w:spacing w:after="40"/>
            </w:pPr>
            <w:r>
              <w:rPr>
                <w:rFonts w:ascii="Aptos" w:hAnsi="Aptos"/>
                <w:sz w:val="16"/>
              </w:rPr>
              <w:t>Or unlock real-time alerts with a free account.</w:t>
            </w:r>
          </w:p>
          <w:p>
            <w:pPr>
              <w:pStyle w:val="CurrentBox"/>
              <w:spacing w:after="40"/>
            </w:pPr>
            <w:r>
              <w:rPr>
                <w:rFonts w:ascii="Aptos" w:hAnsi="Aptos"/>
                <w:sz w:val="16"/>
              </w:rPr>
              <w:t>The monthly briefing.</w:t>
            </w:r>
          </w:p>
        </w:tc>
      </w:tr>
    </w:tbl>
    <w:p>
      <w:pPr>
        <w:spacing w:after="0"/>
      </w:pPr>
    </w:p>
    <w:tbl>
      <w:tblPr>
        <w:tblW w:type="auto" w:w="0"/>
        <w:jc w:val="center"/>
        <w:tblLayout w:type="fixed"/>
        <w:tblLook w:firstColumn="1" w:firstRow="1" w:lastColumn="0" w:lastRow="0" w:noHBand="0" w:noVBand="1" w:val="04A0"/>
      </w:tblPr>
      <w:tblGrid>
        <w:gridCol w:w="9792"/>
      </w:tblGrid>
      <w:tr>
        <w:trPr>
          <w:cantSplit/>
        </w:trPr>
        <w:tc>
          <w:tcPr>
            <w:tcW w:type="dxa" w:w="9994"/>
            <w:shd w:fill="E8F7F6"/>
            <w:tcMar>
              <w:top w:w="90" w:type="dxa"/>
              <w:start w:w="110" w:type="dxa"/>
              <w:bottom w:w="90" w:type="dxa"/>
              <w:end w:w="110" w:type="dxa"/>
            </w:tcMar>
            <w:vAlign w:val="center"/>
          </w:tcPr>
          <w:p>
            <w:pPr>
              <w:pStyle w:val="ApprovedBox"/>
            </w:pPr>
            <w:r>
              <w:rPr>
                <w:rFonts w:ascii="Aptos" w:hAnsi="Aptos"/>
                <w:b/>
                <w:color w:val="14A6A1"/>
                <w:sz w:val="16"/>
              </w:rPr>
              <w:t>APPROVED REPLACEMENT</w:t>
            </w:r>
          </w:p>
          <w:p>
            <w:pPr>
              <w:pStyle w:val="ApprovedBox"/>
              <w:spacing w:after="40"/>
            </w:pPr>
            <w:r>
              <w:rPr>
                <w:rFonts w:ascii="Aptos" w:hAnsi="Aptos"/>
                <w:sz w:val="16"/>
              </w:rPr>
              <w:t>EYEBROW</w:t>
            </w:r>
          </w:p>
          <w:p>
            <w:pPr>
              <w:pStyle w:val="ApprovedBox"/>
              <w:spacing w:after="40"/>
            </w:pPr>
            <w:r>
              <w:rPr>
                <w:rFonts w:ascii="Aptos" w:hAnsi="Aptos"/>
                <w:sz w:val="16"/>
              </w:rPr>
              <w:t>Stay informed</w:t>
            </w:r>
          </w:p>
          <w:p>
            <w:pPr>
              <w:pStyle w:val="ApprovedBox"/>
              <w:spacing w:after="40"/>
            </w:pPr>
            <w:r>
              <w:rPr>
                <w:rFonts w:ascii="Aptos" w:hAnsi="Aptos"/>
                <w:sz w:val="16"/>
              </w:rPr>
            </w:r>
          </w:p>
          <w:p>
            <w:pPr>
              <w:pStyle w:val="ApprovedBox"/>
              <w:spacing w:after="40"/>
            </w:pPr>
            <w:r>
              <w:rPr>
                <w:rFonts w:ascii="Aptos" w:hAnsi="Aptos"/>
                <w:sz w:val="16"/>
              </w:rPr>
              <w:t>HEADLINE</w:t>
            </w:r>
          </w:p>
          <w:p>
            <w:pPr>
              <w:pStyle w:val="ApprovedBox"/>
              <w:spacing w:after="40"/>
            </w:pPr>
            <w:r>
              <w:rPr>
                <w:rFonts w:ascii="Aptos" w:hAnsi="Aptos"/>
                <w:sz w:val="16"/>
              </w:rPr>
              <w:t>When requirements change, you’ll know what matters.</w:t>
            </w:r>
          </w:p>
          <w:p>
            <w:pPr>
              <w:pStyle w:val="ApprovedBox"/>
              <w:spacing w:after="40"/>
            </w:pPr>
            <w:r>
              <w:rPr>
                <w:rFonts w:ascii="Aptos" w:hAnsi="Aptos"/>
                <w:sz w:val="16"/>
              </w:rPr>
            </w:r>
          </w:p>
          <w:p>
            <w:pPr>
              <w:pStyle w:val="ApprovedBox"/>
              <w:spacing w:after="40"/>
            </w:pPr>
            <w:r>
              <w:rPr>
                <w:rFonts w:ascii="Aptos" w:hAnsi="Aptos"/>
                <w:sz w:val="16"/>
              </w:rPr>
              <w:t>DESCRIPTION</w:t>
            </w:r>
          </w:p>
          <w:p>
            <w:pPr>
              <w:pStyle w:val="ApprovedBox"/>
              <w:spacing w:after="40"/>
            </w:pPr>
            <w:r>
              <w:rPr>
                <w:rFonts w:ascii="Aptos" w:hAnsi="Aptos"/>
                <w:sz w:val="16"/>
              </w:rPr>
              <w:t>Receive one clear update each month with important regulatory changes, upcoming deadlines, and links to official sources for the markets and compliance areas you follow. No promotional emails.</w:t>
            </w:r>
          </w:p>
          <w:p>
            <w:pPr>
              <w:pStyle w:val="ApprovedBox"/>
              <w:spacing w:after="40"/>
            </w:pPr>
            <w:r>
              <w:rPr>
                <w:rFonts w:ascii="Aptos" w:hAnsi="Aptos"/>
                <w:sz w:val="16"/>
              </w:rPr>
            </w:r>
          </w:p>
          <w:p>
            <w:pPr>
              <w:pStyle w:val="ApprovedBox"/>
              <w:spacing w:after="40"/>
            </w:pPr>
            <w:r>
              <w:rPr>
                <w:rFonts w:ascii="Aptos" w:hAnsi="Aptos"/>
                <w:sz w:val="16"/>
              </w:rPr>
              <w:t>ACCOUNT LINK</w:t>
            </w:r>
          </w:p>
          <w:p>
            <w:pPr>
              <w:pStyle w:val="ApprovedBox"/>
              <w:spacing w:after="40"/>
            </w:pPr>
            <w:r>
              <w:rPr>
                <w:rFonts w:ascii="Aptos" w:hAnsi="Aptos"/>
                <w:sz w:val="16"/>
              </w:rPr>
              <w:t>Create a free account for personalized regulatory alerts</w:t>
            </w:r>
          </w:p>
          <w:p>
            <w:pPr>
              <w:pStyle w:val="ApprovedBox"/>
              <w:spacing w:after="40"/>
            </w:pPr>
            <w:r>
              <w:rPr>
                <w:rFonts w:ascii="Aptos" w:hAnsi="Aptos"/>
                <w:sz w:val="16"/>
              </w:rPr>
            </w:r>
          </w:p>
          <w:p>
            <w:pPr>
              <w:pStyle w:val="ApprovedBox"/>
              <w:spacing w:after="40"/>
            </w:pPr>
            <w:r>
              <w:rPr>
                <w:rFonts w:ascii="Aptos" w:hAnsi="Aptos"/>
                <w:sz w:val="16"/>
              </w:rPr>
              <w:t>CARD TITLE</w:t>
            </w:r>
          </w:p>
          <w:p>
            <w:pPr>
              <w:pStyle w:val="ApprovedBox"/>
              <w:spacing w:after="40"/>
            </w:pPr>
            <w:r>
              <w:rPr>
                <w:rFonts w:ascii="Aptos" w:hAnsi="Aptos"/>
                <w:sz w:val="16"/>
              </w:rPr>
              <w:t>Your Monthly Compliance Briefing</w:t>
            </w:r>
          </w:p>
          <w:p>
            <w:pPr>
              <w:pStyle w:val="ApprovedBox"/>
              <w:spacing w:after="40"/>
            </w:pPr>
            <w:r>
              <w:rPr>
                <w:rFonts w:ascii="Aptos" w:hAnsi="Aptos"/>
                <w:sz w:val="16"/>
              </w:rPr>
            </w:r>
          </w:p>
          <w:p>
            <w:pPr>
              <w:pStyle w:val="ApprovedBox"/>
              <w:spacing w:after="40"/>
            </w:pPr>
            <w:r>
              <w:rPr>
                <w:rFonts w:ascii="Aptos" w:hAnsi="Aptos"/>
                <w:sz w:val="16"/>
              </w:rPr>
              <w:t>PLACEHOLDER</w:t>
            </w:r>
          </w:p>
          <w:p>
            <w:pPr>
              <w:pStyle w:val="ApprovedBox"/>
              <w:spacing w:after="40"/>
            </w:pPr>
            <w:r>
              <w:rPr>
                <w:rFonts w:ascii="Aptos" w:hAnsi="Aptos"/>
                <w:sz w:val="16"/>
              </w:rPr>
              <w:t>you@yourcompany.com</w:t>
            </w:r>
          </w:p>
          <w:p>
            <w:pPr>
              <w:pStyle w:val="ApprovedBox"/>
              <w:spacing w:after="40"/>
            </w:pPr>
            <w:r>
              <w:rPr>
                <w:rFonts w:ascii="Aptos" w:hAnsi="Aptos"/>
                <w:sz w:val="16"/>
              </w:rPr>
            </w:r>
          </w:p>
          <w:p>
            <w:pPr>
              <w:pStyle w:val="ApprovedBox"/>
              <w:spacing w:after="40"/>
            </w:pPr>
            <w:r>
              <w:rPr>
                <w:rFonts w:ascii="Aptos" w:hAnsi="Aptos"/>
                <w:sz w:val="16"/>
              </w:rPr>
              <w:t>BUTTON</w:t>
            </w:r>
          </w:p>
          <w:p>
            <w:pPr>
              <w:pStyle w:val="ApprovedBox"/>
              <w:spacing w:after="40"/>
            </w:pPr>
            <w:r>
              <w:rPr>
                <w:rFonts w:ascii="Aptos" w:hAnsi="Aptos"/>
                <w:sz w:val="16"/>
              </w:rPr>
              <w:t>Subscribe</w:t>
            </w:r>
          </w:p>
          <w:p>
            <w:pPr>
              <w:pStyle w:val="ApprovedBox"/>
              <w:spacing w:after="40"/>
            </w:pPr>
            <w:r>
              <w:rPr>
                <w:rFonts w:ascii="Aptos" w:hAnsi="Aptos"/>
                <w:sz w:val="16"/>
              </w:rPr>
            </w:r>
          </w:p>
          <w:p>
            <w:pPr>
              <w:pStyle w:val="ApprovedBox"/>
              <w:spacing w:after="40"/>
            </w:pPr>
            <w:r>
              <w:rPr>
                <w:rFonts w:ascii="Aptos" w:hAnsi="Aptos"/>
                <w:sz w:val="16"/>
              </w:rPr>
              <w:t>SUCCESS MESSAGE</w:t>
            </w:r>
          </w:p>
          <w:p>
            <w:pPr>
              <w:pStyle w:val="ApprovedBox"/>
              <w:spacing w:after="40"/>
            </w:pPr>
            <w:r>
              <w:rPr>
                <w:rFonts w:ascii="Aptos" w:hAnsi="Aptos"/>
                <w:sz w:val="16"/>
              </w:rPr>
              <w:t>You’re subscribed. Please check your inbox to confirm your email address.</w:t>
            </w:r>
          </w:p>
          <w:p>
            <w:pPr>
              <w:pStyle w:val="ApprovedBox"/>
              <w:spacing w:after="40"/>
            </w:pPr>
            <w:r>
              <w:rPr>
                <w:rFonts w:ascii="Aptos" w:hAnsi="Aptos"/>
                <w:sz w:val="16"/>
              </w:rPr>
            </w:r>
          </w:p>
          <w:p>
            <w:pPr>
              <w:pStyle w:val="ApprovedBox"/>
              <w:spacing w:after="40"/>
            </w:pPr>
            <w:r>
              <w:rPr>
                <w:rFonts w:ascii="Aptos" w:hAnsi="Aptos"/>
                <w:sz w:val="16"/>
              </w:rPr>
              <w:t>PRIVACY LINE</w:t>
            </w:r>
          </w:p>
          <w:p>
            <w:pPr>
              <w:pStyle w:val="ApprovedBox"/>
              <w:spacing w:after="40"/>
            </w:pPr>
            <w:r>
              <w:rPr>
                <w:rFonts w:ascii="Aptos" w:hAnsi="Aptos"/>
                <w:sz w:val="16"/>
              </w:rPr>
              <w:t>We use your email only to send the monthly briefing. You can unsubscribe at any time. Read our Privacy Policy.</w:t>
            </w:r>
          </w:p>
        </w:tc>
      </w:tr>
    </w:tbl>
    <w:p>
      <w:pPr>
        <w:spacing w:after="0"/>
      </w:pPr>
    </w:p>
    <w:tbl>
      <w:tblPr>
        <w:tblW w:type="auto" w:w="0"/>
        <w:jc w:val="center"/>
        <w:tblLayout w:type="fixed"/>
        <w:tblLook w:firstColumn="1" w:firstRow="1" w:lastColumn="0" w:lastRow="0" w:noHBand="0" w:noVBand="1" w:val="04A0"/>
      </w:tblPr>
      <w:tblGrid>
        <w:gridCol w:w="9792"/>
      </w:tblGrid>
      <w:tr>
        <w:trPr>
          <w:cantSplit/>
        </w:trPr>
        <w:tc>
          <w:tcPr>
            <w:tcW w:type="dxa" w:w="9994"/>
            <w:shd w:fill="EEF4F7"/>
            <w:tcMar>
              <w:top w:w="90" w:type="dxa"/>
              <w:start w:w="110" w:type="dxa"/>
              <w:bottom w:w="90" w:type="dxa"/>
              <w:end w:w="110" w:type="dxa"/>
            </w:tcMar>
            <w:vAlign w:val="center"/>
          </w:tcPr>
          <w:p>
            <w:pPr>
              <w:pStyle w:val="DevNote"/>
            </w:pPr>
            <w:r>
              <w:rPr>
                <w:rFonts w:ascii="Aptos" w:hAnsi="Aptos"/>
                <w:b/>
                <w:color w:val="14A6A1"/>
                <w:sz w:val="16"/>
              </w:rPr>
              <w:t>DEVELOPER INSTRUCTION</w:t>
            </w:r>
          </w:p>
          <w:p>
            <w:pPr>
              <w:pStyle w:val="DevNote"/>
              <w:spacing w:after="40"/>
            </w:pPr>
            <w:r>
              <w:rPr>
                <w:rFonts w:ascii="Aptos" w:hAnsi="Aptos"/>
                <w:sz w:val="16"/>
              </w:rPr>
              <w:t>Link “Privacy Policy.” Use the confirmation message only when double opt-in is implemented. Do not use “real-time” unless delivery performance supports that claim.</w:t>
            </w:r>
          </w:p>
        </w:tc>
      </w:tr>
    </w:tbl>
    <w:p>
      <w:pPr>
        <w:spacing w:after="0"/>
      </w:pPr>
    </w:p>
    <w:p>
      <w:pPr>
        <w:pStyle w:val="Heading2"/>
      </w:pPr>
      <w:r>
        <w:t>12B. Main Footer</w:t>
      </w:r>
    </w:p>
    <w:tbl>
      <w:tblPr>
        <w:tblW w:type="auto" w:w="0"/>
        <w:jc w:val="center"/>
        <w:tblLayout w:type="fixed"/>
        <w:tblLook w:firstColumn="1" w:firstRow="1" w:lastColumn="0" w:lastRow="0" w:noHBand="0" w:noVBand="1" w:val="04A0"/>
      </w:tblPr>
      <w:tblGrid>
        <w:gridCol w:w="9792"/>
      </w:tblGrid>
      <w:tr>
        <w:trPr>
          <w:cantSplit/>
        </w:trPr>
        <w:tc>
          <w:tcPr>
            <w:tcW w:type="dxa" w:w="9994"/>
            <w:shd w:fill="F2F4F5"/>
            <w:tcMar>
              <w:top w:w="90" w:type="dxa"/>
              <w:start w:w="110" w:type="dxa"/>
              <w:bottom w:w="90" w:type="dxa"/>
              <w:end w:w="110" w:type="dxa"/>
            </w:tcMar>
            <w:vAlign w:val="center"/>
          </w:tcPr>
          <w:p>
            <w:pPr>
              <w:pStyle w:val="CurrentBox"/>
            </w:pPr>
            <w:r>
              <w:rPr>
                <w:rFonts w:ascii="Aptos" w:hAnsi="Aptos"/>
                <w:b/>
                <w:color w:val="14A6A1"/>
                <w:sz w:val="16"/>
              </w:rPr>
              <w:t>CURRENT WEBSITE WORDING</w:t>
            </w:r>
          </w:p>
          <w:p>
            <w:pPr>
              <w:pStyle w:val="CurrentBox"/>
              <w:spacing w:after="40"/>
            </w:pPr>
            <w:r>
              <w:rPr>
                <w:rFonts w:ascii="Aptos" w:hAnsi="Aptos"/>
                <w:sz w:val="16"/>
              </w:rPr>
              <w:t>Tagline: The orchestration layer between compliance complexity and operational reality.</w:t>
            </w:r>
          </w:p>
          <w:p>
            <w:pPr>
              <w:pStyle w:val="CurrentBox"/>
              <w:spacing w:after="40"/>
            </w:pPr>
            <w:r>
              <w:rPr>
                <w:rFonts w:ascii="Aptos" w:hAnsi="Aptos"/>
                <w:sz w:val="16"/>
              </w:rPr>
              <w:t>Note: Not a law firm. We orchestrate verified specialists.</w:t>
            </w:r>
          </w:p>
          <w:p>
            <w:pPr>
              <w:pStyle w:val="CurrentBox"/>
              <w:spacing w:after="40"/>
            </w:pPr>
            <w:r>
              <w:rPr>
                <w:rFonts w:ascii="Aptos" w:hAnsi="Aptos"/>
                <w:sz w:val="16"/>
              </w:rPr>
              <w:t>Markets we cover today: Germany, United Kingdom, Netherlands, France, Italy, Spain. More countries rolling out through 2026.</w:t>
            </w:r>
          </w:p>
          <w:p>
            <w:pPr>
              <w:pStyle w:val="CurrentBox"/>
              <w:spacing w:after="40"/>
            </w:pPr>
            <w:r>
              <w:rPr>
                <w:rFonts w:ascii="Aptos" w:hAnsi="Aptos"/>
                <w:sz w:val="16"/>
              </w:rPr>
              <w:t>Legal links mix English and German terms.</w:t>
            </w:r>
          </w:p>
        </w:tc>
      </w:tr>
    </w:tbl>
    <w:p>
      <w:pPr>
        <w:spacing w:after="0"/>
      </w:pPr>
    </w:p>
    <w:tbl>
      <w:tblPr>
        <w:tblW w:type="auto" w:w="0"/>
        <w:jc w:val="center"/>
        <w:tblLayout w:type="fixed"/>
        <w:tblLook w:firstColumn="1" w:firstRow="1" w:lastColumn="0" w:lastRow="0" w:noHBand="0" w:noVBand="1" w:val="04A0"/>
      </w:tblPr>
      <w:tblGrid>
        <w:gridCol w:w="9792"/>
      </w:tblGrid>
      <w:tr>
        <w:trPr>
          <w:cantSplit/>
        </w:trPr>
        <w:tc>
          <w:tcPr>
            <w:tcW w:type="dxa" w:w="9994"/>
            <w:shd w:fill="E8F7F6"/>
            <w:tcMar>
              <w:top w:w="90" w:type="dxa"/>
              <w:start w:w="110" w:type="dxa"/>
              <w:bottom w:w="90" w:type="dxa"/>
              <w:end w:w="110" w:type="dxa"/>
            </w:tcMar>
            <w:vAlign w:val="center"/>
          </w:tcPr>
          <w:p>
            <w:pPr>
              <w:pStyle w:val="ApprovedBox"/>
            </w:pPr>
            <w:r>
              <w:rPr>
                <w:rFonts w:ascii="Aptos" w:hAnsi="Aptos"/>
                <w:b/>
                <w:color w:val="14A6A1"/>
                <w:sz w:val="16"/>
              </w:rPr>
              <w:t>APPROVED REPLACEMENT</w:t>
            </w:r>
          </w:p>
          <w:p>
            <w:pPr>
              <w:pStyle w:val="ApprovedBox"/>
              <w:spacing w:after="40"/>
            </w:pPr>
            <w:r>
              <w:rPr>
                <w:rFonts w:ascii="Aptos" w:hAnsi="Aptos"/>
                <w:sz w:val="16"/>
              </w:rPr>
              <w:t>TAGLINE</w:t>
            </w:r>
          </w:p>
          <w:p>
            <w:pPr>
              <w:pStyle w:val="ApprovedBox"/>
              <w:spacing w:after="40"/>
            </w:pPr>
            <w:r>
              <w:rPr>
                <w:rFonts w:ascii="Aptos" w:hAnsi="Aptos"/>
                <w:sz w:val="16"/>
              </w:rPr>
              <w:t>Understand what applies. Find the right support.</w:t>
            </w:r>
          </w:p>
          <w:p>
            <w:pPr>
              <w:pStyle w:val="ApprovedBox"/>
              <w:spacing w:after="40"/>
            </w:pPr>
            <w:r>
              <w:rPr>
                <w:rFonts w:ascii="Aptos" w:hAnsi="Aptos"/>
                <w:sz w:val="16"/>
              </w:rPr>
            </w:r>
          </w:p>
          <w:p>
            <w:pPr>
              <w:pStyle w:val="ApprovedBox"/>
              <w:spacing w:after="40"/>
            </w:pPr>
            <w:r>
              <w:rPr>
                <w:rFonts w:ascii="Aptos" w:hAnsi="Aptos"/>
                <w:sz w:val="16"/>
              </w:rPr>
              <w:t>PLATFORM DESCRIPTION</w:t>
            </w:r>
          </w:p>
          <w:p>
            <w:pPr>
              <w:pStyle w:val="ApprovedBox"/>
              <w:spacing w:after="40"/>
            </w:pPr>
            <w:r>
              <w:rPr>
                <w:rFonts w:ascii="Aptos" w:hAnsi="Aptos"/>
                <w:sz w:val="16"/>
              </w:rPr>
              <w:t>Clear compliance information and fair matching with verified independent providers.</w:t>
            </w:r>
          </w:p>
          <w:p>
            <w:pPr>
              <w:pStyle w:val="ApprovedBox"/>
              <w:spacing w:after="40"/>
            </w:pPr>
            <w:r>
              <w:rPr>
                <w:rFonts w:ascii="Aptos" w:hAnsi="Aptos"/>
                <w:sz w:val="16"/>
              </w:rPr>
            </w:r>
          </w:p>
          <w:p>
            <w:pPr>
              <w:pStyle w:val="ApprovedBox"/>
              <w:spacing w:after="40"/>
            </w:pPr>
            <w:r>
              <w:rPr>
                <w:rFonts w:ascii="Aptos" w:hAnsi="Aptos"/>
                <w:sz w:val="16"/>
              </w:rPr>
              <w:t>GLOBAL COVERAGE</w:t>
            </w:r>
          </w:p>
          <w:p>
            <w:pPr>
              <w:pStyle w:val="ApprovedBox"/>
              <w:spacing w:after="40"/>
            </w:pPr>
            <w:r>
              <w:rPr>
                <w:rFonts w:ascii="Aptos" w:hAnsi="Aptos"/>
                <w:sz w:val="16"/>
              </w:rPr>
              <w:t>North America · Latin America &amp; the Caribbean · Europe · Asia-Pacific · Middle East · Africa</w:t>
            </w:r>
          </w:p>
          <w:p>
            <w:pPr>
              <w:pStyle w:val="ApprovedBox"/>
              <w:spacing w:after="40"/>
            </w:pPr>
            <w:r>
              <w:rPr>
                <w:rFonts w:ascii="Aptos" w:hAnsi="Aptos"/>
                <w:sz w:val="16"/>
              </w:rPr>
            </w:r>
          </w:p>
          <w:p>
            <w:pPr>
              <w:pStyle w:val="ApprovedBox"/>
              <w:spacing w:after="40"/>
            </w:pPr>
            <w:r>
              <w:rPr>
                <w:rFonts w:ascii="Aptos" w:hAnsi="Aptos"/>
                <w:sz w:val="16"/>
              </w:rPr>
              <w:t>COVERAGE NOTE</w:t>
            </w:r>
          </w:p>
          <w:p>
            <w:pPr>
              <w:pStyle w:val="ApprovedBox"/>
              <w:spacing w:after="40"/>
            </w:pPr>
            <w:r>
              <w:rPr>
                <w:rFonts w:ascii="Aptos" w:hAnsi="Aptos"/>
                <w:sz w:val="16"/>
              </w:rPr>
              <w:t>CompliHub360 supports businesses across global markets. Service availability depends on the country, compliance requirement, and coverage within our verified provider network.</w:t>
            </w:r>
          </w:p>
          <w:p>
            <w:pPr>
              <w:pStyle w:val="ApprovedBox"/>
              <w:spacing w:after="40"/>
            </w:pPr>
            <w:r>
              <w:rPr>
                <w:rFonts w:ascii="Aptos" w:hAnsi="Aptos"/>
                <w:sz w:val="16"/>
              </w:rPr>
            </w:r>
          </w:p>
          <w:p>
            <w:pPr>
              <w:pStyle w:val="ApprovedBox"/>
              <w:spacing w:after="40"/>
            </w:pPr>
            <w:r>
              <w:rPr>
                <w:rFonts w:ascii="Aptos" w:hAnsi="Aptos"/>
                <w:sz w:val="16"/>
              </w:rPr>
              <w:t>LINK</w:t>
            </w:r>
          </w:p>
          <w:p>
            <w:pPr>
              <w:pStyle w:val="ApprovedBox"/>
              <w:spacing w:after="40"/>
            </w:pPr>
            <w:r>
              <w:rPr>
                <w:rFonts w:ascii="Aptos" w:hAnsi="Aptos"/>
                <w:sz w:val="16"/>
              </w:rPr>
              <w:t>Explore Markets and Coverage</w:t>
            </w:r>
          </w:p>
        </w:tc>
      </w:tr>
    </w:tbl>
    <w:p>
      <w:pPr>
        <w:spacing w:after="0"/>
      </w:pPr>
    </w:p>
    <w:p>
      <w:pPr>
        <w:pStyle w:val="Heading3"/>
      </w:pPr>
      <w:r>
        <w:t>Approved footer navigation</w:t>
      </w:r>
    </w:p>
    <w:tbl>
      <w:tblPr>
        <w:tblStyle w:val="LightShading-Accent1"/>
        <w:tblW w:type="auto" w:w="0"/>
        <w:tblLook w:firstColumn="1" w:firstRow="1" w:lastColumn="0" w:lastRow="0" w:noHBand="0" w:noVBand="1" w:val="04A0"/>
      </w:tblPr>
      <w:tblGrid>
        <w:gridCol w:w="2498"/>
        <w:gridCol w:w="2498"/>
        <w:gridCol w:w="2498"/>
        <w:gridCol w:w="2498"/>
      </w:tblGrid>
      <w:tr>
        <w:trPr>
          <w:cantSplit/>
          <w:tblHeader w:val="true"/>
        </w:trPr>
        <w:tc>
          <w:tcPr>
            <w:tcW w:type="dxa" w:w="2498"/>
            <w:tcMar>
              <w:top w:w="90" w:type="dxa"/>
              <w:start w:w="110" w:type="dxa"/>
              <w:bottom w:w="90" w:type="dxa"/>
              <w:end w:w="110" w:type="dxa"/>
            </w:tcMar>
            <w:shd w:fill="123047"/>
          </w:tcPr>
          <w:p>
            <w:r>
              <w:rPr>
                <w:rFonts w:ascii="Aptos" w:hAnsi="Aptos"/>
                <w:b/>
                <w:color w:val="FFFFFF"/>
                <w:sz w:val="16"/>
              </w:rPr>
              <w:t>Platform</w:t>
            </w:r>
          </w:p>
        </w:tc>
        <w:tc>
          <w:tcPr>
            <w:tcW w:type="dxa" w:w="2498"/>
            <w:tcMar>
              <w:top w:w="90" w:type="dxa"/>
              <w:start w:w="110" w:type="dxa"/>
              <w:bottom w:w="90" w:type="dxa"/>
              <w:end w:w="110" w:type="dxa"/>
            </w:tcMar>
            <w:shd w:fill="123047"/>
          </w:tcPr>
          <w:p>
            <w:r>
              <w:rPr>
                <w:rFonts w:ascii="Aptos" w:hAnsi="Aptos"/>
                <w:b/>
                <w:color w:val="FFFFFF"/>
                <w:sz w:val="16"/>
              </w:rPr>
              <w:t>Areas of Support</w:t>
            </w:r>
          </w:p>
        </w:tc>
        <w:tc>
          <w:tcPr>
            <w:tcW w:type="dxa" w:w="2498"/>
            <w:tcMar>
              <w:top w:w="90" w:type="dxa"/>
              <w:start w:w="110" w:type="dxa"/>
              <w:bottom w:w="90" w:type="dxa"/>
              <w:end w:w="110" w:type="dxa"/>
            </w:tcMar>
            <w:shd w:fill="123047"/>
          </w:tcPr>
          <w:p>
            <w:r>
              <w:rPr>
                <w:rFonts w:ascii="Aptos" w:hAnsi="Aptos"/>
                <w:b/>
                <w:color w:val="FFFFFF"/>
                <w:sz w:val="16"/>
              </w:rPr>
              <w:t>For Providers</w:t>
            </w:r>
          </w:p>
        </w:tc>
        <w:tc>
          <w:tcPr>
            <w:tcW w:type="dxa" w:w="2498"/>
            <w:tcMar>
              <w:top w:w="90" w:type="dxa"/>
              <w:start w:w="110" w:type="dxa"/>
              <w:bottom w:w="90" w:type="dxa"/>
              <w:end w:w="110" w:type="dxa"/>
            </w:tcMar>
            <w:shd w:fill="123047"/>
          </w:tcPr>
          <w:p>
            <w:r>
              <w:rPr>
                <w:rFonts w:ascii="Aptos" w:hAnsi="Aptos"/>
                <w:b/>
                <w:color w:val="FFFFFF"/>
                <w:sz w:val="16"/>
              </w:rPr>
              <w:t>Company</w:t>
            </w:r>
          </w:p>
        </w:tc>
      </w:tr>
      <w:tr>
        <w:trPr>
          <w:cantSplit/>
        </w:trPr>
        <w:tc>
          <w:tcPr>
            <w:tcW w:type="dxa" w:w="2498"/>
            <w:tcMar>
              <w:top w:w="90" w:type="dxa"/>
              <w:start w:w="110" w:type="dxa"/>
              <w:bottom w:w="90" w:type="dxa"/>
              <w:end w:w="110" w:type="dxa"/>
            </w:tcMar>
          </w:tcPr>
          <w:p>
            <w:r>
              <w:rPr>
                <w:rFonts w:ascii="Aptos" w:hAnsi="Aptos"/>
                <w:sz w:val="16"/>
              </w:rPr>
              <w:t>How It Works</w:t>
            </w:r>
          </w:p>
        </w:tc>
        <w:tc>
          <w:tcPr>
            <w:tcW w:type="dxa" w:w="2498"/>
            <w:tcMar>
              <w:top w:w="90" w:type="dxa"/>
              <w:start w:w="110" w:type="dxa"/>
              <w:bottom w:w="90" w:type="dxa"/>
              <w:end w:w="110" w:type="dxa"/>
            </w:tcMar>
          </w:tcPr>
          <w:p>
            <w:r>
              <w:rPr>
                <w:rFonts w:ascii="Aptos" w:hAnsi="Aptos"/>
                <w:sz w:val="16"/>
              </w:rPr>
              <w:t>All Areas</w:t>
            </w:r>
          </w:p>
        </w:tc>
        <w:tc>
          <w:tcPr>
            <w:tcW w:type="dxa" w:w="2498"/>
            <w:tcMar>
              <w:top w:w="90" w:type="dxa"/>
              <w:start w:w="110" w:type="dxa"/>
              <w:bottom w:w="90" w:type="dxa"/>
              <w:end w:w="110" w:type="dxa"/>
            </w:tcMar>
          </w:tcPr>
          <w:p>
            <w:r>
              <w:rPr>
                <w:rFonts w:ascii="Aptos" w:hAnsi="Aptos"/>
                <w:sz w:val="16"/>
              </w:rPr>
              <w:t>Join Our Provider Network</w:t>
            </w:r>
          </w:p>
        </w:tc>
        <w:tc>
          <w:tcPr>
            <w:tcW w:type="dxa" w:w="2498"/>
            <w:tcMar>
              <w:top w:w="90" w:type="dxa"/>
              <w:start w:w="110" w:type="dxa"/>
              <w:bottom w:w="90" w:type="dxa"/>
              <w:end w:w="110" w:type="dxa"/>
            </w:tcMar>
          </w:tcPr>
          <w:p>
            <w:r>
              <w:rPr>
                <w:rFonts w:ascii="Aptos" w:hAnsi="Aptos"/>
                <w:sz w:val="16"/>
              </w:rPr>
              <w:t>About CompliHub360</w:t>
            </w:r>
          </w:p>
        </w:tc>
      </w:tr>
      <w:tr>
        <w:trPr>
          <w:cantSplit/>
        </w:trPr>
        <w:tc>
          <w:tcPr>
            <w:tcW w:type="dxa" w:w="2498"/>
            <w:tcMar>
              <w:top w:w="90" w:type="dxa"/>
              <w:start w:w="110" w:type="dxa"/>
              <w:bottom w:w="90" w:type="dxa"/>
              <w:end w:w="110" w:type="dxa"/>
            </w:tcMar>
          </w:tcPr>
          <w:p>
            <w:r>
              <w:rPr>
                <w:rFonts w:ascii="Aptos" w:hAnsi="Aptos"/>
                <w:sz w:val="16"/>
              </w:rPr>
              <w:t>Who It Is For</w:t>
            </w:r>
          </w:p>
        </w:tc>
        <w:tc>
          <w:tcPr>
            <w:tcW w:type="dxa" w:w="2498"/>
            <w:tcMar>
              <w:top w:w="90" w:type="dxa"/>
              <w:start w:w="110" w:type="dxa"/>
              <w:bottom w:w="90" w:type="dxa"/>
              <w:end w:w="110" w:type="dxa"/>
            </w:tcMar>
          </w:tcPr>
          <w:p>
            <w:r>
              <w:rPr>
                <w:rFonts w:ascii="Aptos" w:hAnsi="Aptos"/>
                <w:sz w:val="16"/>
              </w:rPr>
              <w:t>Tax &amp; VAT</w:t>
            </w:r>
          </w:p>
        </w:tc>
        <w:tc>
          <w:tcPr>
            <w:tcW w:type="dxa" w:w="2498"/>
            <w:tcMar>
              <w:top w:w="90" w:type="dxa"/>
              <w:start w:w="110" w:type="dxa"/>
              <w:bottom w:w="90" w:type="dxa"/>
              <w:end w:w="110" w:type="dxa"/>
            </w:tcMar>
          </w:tcPr>
          <w:p>
            <w:r>
              <w:rPr>
                <w:rFonts w:ascii="Aptos" w:hAnsi="Aptos"/>
                <w:sz w:val="16"/>
              </w:rPr>
              <w:t>How Provider Matching Works</w:t>
            </w:r>
          </w:p>
        </w:tc>
        <w:tc>
          <w:tcPr>
            <w:tcW w:type="dxa" w:w="2498"/>
            <w:tcMar>
              <w:top w:w="90" w:type="dxa"/>
              <w:start w:w="110" w:type="dxa"/>
              <w:bottom w:w="90" w:type="dxa"/>
              <w:end w:w="110" w:type="dxa"/>
            </w:tcMar>
          </w:tcPr>
          <w:p>
            <w:r>
              <w:rPr>
                <w:rFonts w:ascii="Aptos" w:hAnsi="Aptos"/>
                <w:sz w:val="16"/>
              </w:rPr>
              <w:t>Trust &amp; Security</w:t>
            </w:r>
          </w:p>
        </w:tc>
      </w:tr>
      <w:tr>
        <w:trPr>
          <w:cantSplit/>
        </w:trPr>
        <w:tc>
          <w:tcPr>
            <w:tcW w:type="dxa" w:w="2498"/>
            <w:tcMar>
              <w:top w:w="90" w:type="dxa"/>
              <w:start w:w="110" w:type="dxa"/>
              <w:bottom w:w="90" w:type="dxa"/>
              <w:end w:w="110" w:type="dxa"/>
            </w:tcMar>
          </w:tcPr>
          <w:p>
            <w:r>
              <w:rPr>
                <w:rFonts w:ascii="Aptos" w:hAnsi="Aptos"/>
                <w:sz w:val="16"/>
              </w:rPr>
              <w:t>Ask a Question</w:t>
            </w:r>
          </w:p>
        </w:tc>
        <w:tc>
          <w:tcPr>
            <w:tcW w:type="dxa" w:w="2498"/>
            <w:tcMar>
              <w:top w:w="90" w:type="dxa"/>
              <w:start w:w="110" w:type="dxa"/>
              <w:bottom w:w="90" w:type="dxa"/>
              <w:end w:w="110" w:type="dxa"/>
            </w:tcMar>
          </w:tcPr>
          <w:p>
            <w:r>
              <w:rPr>
                <w:rFonts w:ascii="Aptos" w:hAnsi="Aptos"/>
                <w:sz w:val="16"/>
              </w:rPr>
              <w:t>EPR &amp; Packaging</w:t>
            </w:r>
          </w:p>
        </w:tc>
        <w:tc>
          <w:tcPr>
            <w:tcW w:type="dxa" w:w="2498"/>
            <w:tcMar>
              <w:top w:w="90" w:type="dxa"/>
              <w:start w:w="110" w:type="dxa"/>
              <w:bottom w:w="90" w:type="dxa"/>
              <w:end w:w="110" w:type="dxa"/>
            </w:tcMar>
          </w:tcPr>
          <w:p>
            <w:r>
              <w:rPr>
                <w:rFonts w:ascii="Aptos" w:hAnsi="Aptos"/>
                <w:sz w:val="16"/>
              </w:rPr>
              <w:t>Provider Standards</w:t>
            </w:r>
          </w:p>
        </w:tc>
        <w:tc>
          <w:tcPr>
            <w:tcW w:type="dxa" w:w="2498"/>
            <w:tcMar>
              <w:top w:w="90" w:type="dxa"/>
              <w:start w:w="110" w:type="dxa"/>
              <w:bottom w:w="90" w:type="dxa"/>
              <w:end w:w="110" w:type="dxa"/>
            </w:tcMar>
          </w:tcPr>
          <w:p>
            <w:r>
              <w:rPr>
                <w:rFonts w:ascii="Aptos" w:hAnsi="Aptos"/>
                <w:sz w:val="16"/>
              </w:rPr>
              <w:t>Contact</w:t>
            </w:r>
          </w:p>
        </w:tc>
      </w:tr>
      <w:tr>
        <w:trPr>
          <w:cantSplit/>
        </w:trPr>
        <w:tc>
          <w:tcPr>
            <w:tcW w:type="dxa" w:w="2498"/>
            <w:tcMar>
              <w:top w:w="90" w:type="dxa"/>
              <w:start w:w="110" w:type="dxa"/>
              <w:bottom w:w="90" w:type="dxa"/>
              <w:end w:w="110" w:type="dxa"/>
            </w:tcMar>
          </w:tcPr>
          <w:p>
            <w:r>
              <w:rPr>
                <w:rFonts w:ascii="Aptos" w:hAnsi="Aptos"/>
                <w:sz w:val="16"/>
              </w:rPr>
              <w:t>Assess My Needs</w:t>
            </w:r>
          </w:p>
        </w:tc>
        <w:tc>
          <w:tcPr>
            <w:tcW w:type="dxa" w:w="2498"/>
            <w:tcMar>
              <w:top w:w="90" w:type="dxa"/>
              <w:start w:w="110" w:type="dxa"/>
              <w:bottom w:w="90" w:type="dxa"/>
              <w:end w:w="110" w:type="dxa"/>
            </w:tcMar>
          </w:tcPr>
          <w:p>
            <w:r>
              <w:rPr>
                <w:rFonts w:ascii="Aptos" w:hAnsi="Aptos"/>
                <w:sz w:val="16"/>
              </w:rPr>
              <w:t>Data &amp; Privacy</w:t>
            </w:r>
          </w:p>
        </w:tc>
        <w:tc>
          <w:tcPr>
            <w:tcW w:type="dxa" w:w="2498"/>
            <w:tcMar>
              <w:top w:w="90" w:type="dxa"/>
              <w:start w:w="110" w:type="dxa"/>
              <w:bottom w:w="90" w:type="dxa"/>
              <w:end w:w="110" w:type="dxa"/>
            </w:tcMar>
          </w:tcPr>
          <w:p>
            <w:r>
              <w:rPr>
                <w:rFonts w:ascii="Aptos" w:hAnsi="Aptos"/>
                <w:sz w:val="16"/>
              </w:rPr>
              <w:t>Provider Sign In</w:t>
            </w:r>
          </w:p>
        </w:tc>
        <w:tc>
          <w:tcPr>
            <w:tcW w:type="dxa" w:w="2498"/>
            <w:tcMar>
              <w:top w:w="90" w:type="dxa"/>
              <w:start w:w="110" w:type="dxa"/>
              <w:bottom w:w="90" w:type="dxa"/>
              <w:end w:w="110" w:type="dxa"/>
            </w:tcMar>
          </w:tcPr>
          <w:p>
            <w:r>
              <w:rPr>
                <w:rFonts w:ascii="Aptos" w:hAnsi="Aptos"/>
                <w:sz w:val="16"/>
              </w:rPr>
              <w:t>Support</w:t>
            </w:r>
          </w:p>
        </w:tc>
      </w:tr>
      <w:tr>
        <w:trPr>
          <w:cantSplit/>
        </w:trPr>
        <w:tc>
          <w:tcPr>
            <w:tcW w:type="dxa" w:w="2498"/>
            <w:tcMar>
              <w:top w:w="90" w:type="dxa"/>
              <w:start w:w="110" w:type="dxa"/>
              <w:bottom w:w="90" w:type="dxa"/>
              <w:end w:w="110" w:type="dxa"/>
            </w:tcMar>
          </w:tcPr>
          <w:p>
            <w:r>
              <w:rPr>
                <w:rFonts w:ascii="Aptos" w:hAnsi="Aptos"/>
                <w:sz w:val="16"/>
              </w:rPr>
              <w:t>Sign In</w:t>
            </w:r>
          </w:p>
        </w:tc>
        <w:tc>
          <w:tcPr>
            <w:tcW w:type="dxa" w:w="2498"/>
            <w:tcMar>
              <w:top w:w="90" w:type="dxa"/>
              <w:start w:w="110" w:type="dxa"/>
              <w:bottom w:w="90" w:type="dxa"/>
              <w:end w:w="110" w:type="dxa"/>
            </w:tcMar>
          </w:tcPr>
          <w:p>
            <w:r>
              <w:rPr>
                <w:rFonts w:ascii="Aptos" w:hAnsi="Aptos"/>
                <w:sz w:val="16"/>
              </w:rPr>
              <w:t>Marketing Compliance</w:t>
            </w:r>
          </w:p>
        </w:tc>
        <w:tc>
          <w:tcPr>
            <w:tcW w:type="dxa" w:w="2498"/>
            <w:tcMar>
              <w:top w:w="90" w:type="dxa"/>
              <w:start w:w="110" w:type="dxa"/>
              <w:bottom w:w="90" w:type="dxa"/>
              <w:end w:w="110" w:type="dxa"/>
            </w:tcMar>
          </w:tcPr>
          <w:p>
            <w:r>
              <w:rPr>
                <w:rFonts w:ascii="Aptos" w:hAnsi="Aptos"/>
                <w:sz w:val="16"/>
              </w:rPr>
            </w:r>
          </w:p>
        </w:tc>
        <w:tc>
          <w:tcPr>
            <w:tcW w:type="dxa" w:w="2498"/>
            <w:tcMar>
              <w:top w:w="90" w:type="dxa"/>
              <w:start w:w="110" w:type="dxa"/>
              <w:bottom w:w="90" w:type="dxa"/>
              <w:end w:w="110" w:type="dxa"/>
            </w:tcMar>
          </w:tcPr>
          <w:p>
            <w:r>
              <w:rPr>
                <w:rFonts w:ascii="Aptos" w:hAnsi="Aptos"/>
                <w:sz w:val="16"/>
              </w:rPr>
            </w:r>
          </w:p>
        </w:tc>
      </w:tr>
      <w:tr>
        <w:trPr>
          <w:cantSplit/>
        </w:trPr>
        <w:tc>
          <w:tcPr>
            <w:tcW w:type="dxa" w:w="2498"/>
            <w:tcMar>
              <w:top w:w="90" w:type="dxa"/>
              <w:start w:w="110" w:type="dxa"/>
              <w:bottom w:w="90" w:type="dxa"/>
              <w:end w:w="110" w:type="dxa"/>
            </w:tcMar>
          </w:tcPr>
          <w:p>
            <w:r>
              <w:rPr>
                <w:rFonts w:ascii="Aptos" w:hAnsi="Aptos"/>
                <w:sz w:val="16"/>
              </w:rPr>
            </w:r>
          </w:p>
        </w:tc>
        <w:tc>
          <w:tcPr>
            <w:tcW w:type="dxa" w:w="2498"/>
            <w:tcMar>
              <w:top w:w="90" w:type="dxa"/>
              <w:start w:w="110" w:type="dxa"/>
              <w:bottom w:w="90" w:type="dxa"/>
              <w:end w:w="110" w:type="dxa"/>
            </w:tcMar>
          </w:tcPr>
          <w:p>
            <w:r>
              <w:rPr>
                <w:rFonts w:ascii="Aptos" w:hAnsi="Aptos"/>
                <w:sz w:val="16"/>
              </w:rPr>
              <w:t>Company Setup &amp; Filings</w:t>
            </w:r>
          </w:p>
        </w:tc>
        <w:tc>
          <w:tcPr>
            <w:tcW w:type="dxa" w:w="2498"/>
            <w:tcMar>
              <w:top w:w="90" w:type="dxa"/>
              <w:start w:w="110" w:type="dxa"/>
              <w:bottom w:w="90" w:type="dxa"/>
              <w:end w:w="110" w:type="dxa"/>
            </w:tcMar>
          </w:tcPr>
          <w:p>
            <w:r>
              <w:rPr>
                <w:rFonts w:ascii="Aptos" w:hAnsi="Aptos"/>
                <w:sz w:val="16"/>
              </w:rPr>
            </w:r>
          </w:p>
        </w:tc>
        <w:tc>
          <w:tcPr>
            <w:tcW w:type="dxa" w:w="2498"/>
            <w:tcMar>
              <w:top w:w="90" w:type="dxa"/>
              <w:start w:w="110" w:type="dxa"/>
              <w:bottom w:w="90" w:type="dxa"/>
              <w:end w:w="110" w:type="dxa"/>
            </w:tcMar>
          </w:tcPr>
          <w:p>
            <w:r>
              <w:rPr>
                <w:rFonts w:ascii="Aptos" w:hAnsi="Aptos"/>
                <w:sz w:val="16"/>
              </w:rPr>
            </w:r>
          </w:p>
        </w:tc>
      </w:tr>
      <w:tr>
        <w:trPr>
          <w:cantSplit/>
        </w:trPr>
        <w:tc>
          <w:tcPr>
            <w:tcW w:type="dxa" w:w="2498"/>
            <w:tcMar>
              <w:top w:w="90" w:type="dxa"/>
              <w:start w:w="110" w:type="dxa"/>
              <w:bottom w:w="90" w:type="dxa"/>
              <w:end w:w="110" w:type="dxa"/>
            </w:tcMar>
          </w:tcPr>
          <w:p>
            <w:r>
              <w:rPr>
                <w:rFonts w:ascii="Aptos" w:hAnsi="Aptos"/>
                <w:sz w:val="16"/>
              </w:rPr>
            </w:r>
          </w:p>
        </w:tc>
        <w:tc>
          <w:tcPr>
            <w:tcW w:type="dxa" w:w="2498"/>
            <w:tcMar>
              <w:top w:w="90" w:type="dxa"/>
              <w:start w:w="110" w:type="dxa"/>
              <w:bottom w:w="90" w:type="dxa"/>
              <w:end w:w="110" w:type="dxa"/>
            </w:tcMar>
          </w:tcPr>
          <w:p>
            <w:r>
              <w:rPr>
                <w:rFonts w:ascii="Aptos" w:hAnsi="Aptos"/>
                <w:sz w:val="16"/>
              </w:rPr>
              <w:t>Product Compliance</w:t>
            </w:r>
          </w:p>
        </w:tc>
        <w:tc>
          <w:tcPr>
            <w:tcW w:type="dxa" w:w="2498"/>
            <w:tcMar>
              <w:top w:w="90" w:type="dxa"/>
              <w:start w:w="110" w:type="dxa"/>
              <w:bottom w:w="90" w:type="dxa"/>
              <w:end w:w="110" w:type="dxa"/>
            </w:tcMar>
          </w:tcPr>
          <w:p>
            <w:r>
              <w:rPr>
                <w:rFonts w:ascii="Aptos" w:hAnsi="Aptos"/>
                <w:sz w:val="16"/>
              </w:rPr>
            </w:r>
          </w:p>
        </w:tc>
        <w:tc>
          <w:tcPr>
            <w:tcW w:type="dxa" w:w="2498"/>
            <w:tcMar>
              <w:top w:w="90" w:type="dxa"/>
              <w:start w:w="110" w:type="dxa"/>
              <w:bottom w:w="90" w:type="dxa"/>
              <w:end w:w="110" w:type="dxa"/>
            </w:tcMar>
          </w:tcPr>
          <w:p>
            <w:r>
              <w:rPr>
                <w:rFonts w:ascii="Aptos" w:hAnsi="Aptos"/>
                <w:sz w:val="16"/>
              </w:rPr>
            </w:r>
          </w:p>
        </w:tc>
      </w:tr>
      <w:tr>
        <w:trPr>
          <w:cantSplit/>
        </w:trPr>
        <w:tc>
          <w:tcPr>
            <w:tcW w:type="dxa" w:w="2498"/>
            <w:tcMar>
              <w:top w:w="90" w:type="dxa"/>
              <w:start w:w="110" w:type="dxa"/>
              <w:bottom w:w="90" w:type="dxa"/>
              <w:end w:w="110" w:type="dxa"/>
            </w:tcMar>
          </w:tcPr>
          <w:p>
            <w:r>
              <w:rPr>
                <w:rFonts w:ascii="Aptos" w:hAnsi="Aptos"/>
                <w:sz w:val="16"/>
              </w:rPr>
            </w:r>
          </w:p>
        </w:tc>
        <w:tc>
          <w:tcPr>
            <w:tcW w:type="dxa" w:w="2498"/>
            <w:tcMar>
              <w:top w:w="90" w:type="dxa"/>
              <w:start w:w="110" w:type="dxa"/>
              <w:bottom w:w="90" w:type="dxa"/>
              <w:end w:w="110" w:type="dxa"/>
            </w:tcMar>
          </w:tcPr>
          <w:p>
            <w:r>
              <w:rPr>
                <w:rFonts w:ascii="Aptos" w:hAnsi="Aptos"/>
                <w:sz w:val="16"/>
              </w:rPr>
              <w:t>Logistics &amp; Customs</w:t>
            </w:r>
          </w:p>
        </w:tc>
        <w:tc>
          <w:tcPr>
            <w:tcW w:type="dxa" w:w="2498"/>
            <w:tcMar>
              <w:top w:w="90" w:type="dxa"/>
              <w:start w:w="110" w:type="dxa"/>
              <w:bottom w:w="90" w:type="dxa"/>
              <w:end w:w="110" w:type="dxa"/>
            </w:tcMar>
          </w:tcPr>
          <w:p>
            <w:r>
              <w:rPr>
                <w:rFonts w:ascii="Aptos" w:hAnsi="Aptos"/>
                <w:sz w:val="16"/>
              </w:rPr>
            </w:r>
          </w:p>
        </w:tc>
        <w:tc>
          <w:tcPr>
            <w:tcW w:type="dxa" w:w="2498"/>
            <w:tcMar>
              <w:top w:w="90" w:type="dxa"/>
              <w:start w:w="110" w:type="dxa"/>
              <w:bottom w:w="90" w:type="dxa"/>
              <w:end w:w="110" w:type="dxa"/>
            </w:tcMar>
          </w:tcPr>
          <w:p>
            <w:r>
              <w:rPr>
                <w:rFonts w:ascii="Aptos" w:hAnsi="Aptos"/>
                <w:sz w:val="16"/>
              </w:rPr>
            </w:r>
          </w:p>
        </w:tc>
      </w:tr>
      <w:tr>
        <w:trPr>
          <w:cantSplit/>
        </w:trPr>
        <w:tc>
          <w:tcPr>
            <w:tcW w:type="dxa" w:w="2498"/>
            <w:tcMar>
              <w:top w:w="90" w:type="dxa"/>
              <w:start w:w="110" w:type="dxa"/>
              <w:bottom w:w="90" w:type="dxa"/>
              <w:end w:w="110" w:type="dxa"/>
            </w:tcMar>
          </w:tcPr>
          <w:p>
            <w:r>
              <w:rPr>
                <w:rFonts w:ascii="Aptos" w:hAnsi="Aptos"/>
                <w:sz w:val="16"/>
              </w:rPr>
            </w:r>
          </w:p>
        </w:tc>
        <w:tc>
          <w:tcPr>
            <w:tcW w:type="dxa" w:w="2498"/>
            <w:tcMar>
              <w:top w:w="90" w:type="dxa"/>
              <w:start w:w="110" w:type="dxa"/>
              <w:bottom w:w="90" w:type="dxa"/>
              <w:end w:w="110" w:type="dxa"/>
            </w:tcMar>
          </w:tcPr>
          <w:p>
            <w:r>
              <w:rPr>
                <w:rFonts w:ascii="Aptos" w:hAnsi="Aptos"/>
                <w:sz w:val="16"/>
              </w:rPr>
              <w:t>Legal Support</w:t>
            </w:r>
          </w:p>
        </w:tc>
        <w:tc>
          <w:tcPr>
            <w:tcW w:type="dxa" w:w="2498"/>
            <w:tcMar>
              <w:top w:w="90" w:type="dxa"/>
              <w:start w:w="110" w:type="dxa"/>
              <w:bottom w:w="90" w:type="dxa"/>
              <w:end w:w="110" w:type="dxa"/>
            </w:tcMar>
          </w:tcPr>
          <w:p>
            <w:r>
              <w:rPr>
                <w:rFonts w:ascii="Aptos" w:hAnsi="Aptos"/>
                <w:sz w:val="16"/>
              </w:rPr>
            </w:r>
          </w:p>
        </w:tc>
        <w:tc>
          <w:tcPr>
            <w:tcW w:type="dxa" w:w="2498"/>
            <w:tcMar>
              <w:top w:w="90" w:type="dxa"/>
              <w:start w:w="110" w:type="dxa"/>
              <w:bottom w:w="90" w:type="dxa"/>
              <w:end w:w="110" w:type="dxa"/>
            </w:tcMar>
          </w:tcPr>
          <w:p>
            <w:r>
              <w:rPr>
                <w:rFonts w:ascii="Aptos" w:hAnsi="Aptos"/>
                <w:sz w:val="16"/>
              </w:rPr>
            </w:r>
          </w:p>
        </w:tc>
      </w:tr>
    </w:tbl>
    <w:p>
      <w:pPr>
        <w:pStyle w:val="Heading3"/>
      </w:pPr>
      <w:r>
        <w:t>Approved footer disclaimer</w:t>
      </w:r>
    </w:p>
    <w:tbl>
      <w:tblPr>
        <w:tblW w:type="auto" w:w="0"/>
        <w:jc w:val="center"/>
        <w:tblLayout w:type="fixed"/>
        <w:tblLook w:firstColumn="1" w:firstRow="1" w:lastColumn="0" w:lastRow="0" w:noHBand="0" w:noVBand="1" w:val="04A0"/>
      </w:tblPr>
      <w:tblGrid>
        <w:gridCol w:w="9792"/>
      </w:tblGrid>
      <w:tr>
        <w:trPr>
          <w:cantSplit/>
        </w:trPr>
        <w:tc>
          <w:tcPr>
            <w:tcW w:type="dxa" w:w="9994"/>
            <w:shd w:fill="E8F7F6"/>
            <w:tcMar>
              <w:top w:w="90" w:type="dxa"/>
              <w:start w:w="110" w:type="dxa"/>
              <w:bottom w:w="90" w:type="dxa"/>
              <w:end w:w="110" w:type="dxa"/>
            </w:tcMar>
            <w:vAlign w:val="center"/>
          </w:tcPr>
          <w:p>
            <w:pPr>
              <w:pStyle w:val="ApprovedBox"/>
            </w:pPr>
            <w:r>
              <w:rPr>
                <w:rFonts w:ascii="Aptos" w:hAnsi="Aptos"/>
                <w:b/>
                <w:color w:val="14A6A1"/>
                <w:sz w:val="16"/>
              </w:rPr>
              <w:t>DISCLAIMER</w:t>
            </w:r>
          </w:p>
          <w:p>
            <w:pPr>
              <w:pStyle w:val="ApprovedBox"/>
              <w:spacing w:after="40"/>
            </w:pPr>
            <w:r>
              <w:rPr>
                <w:rFonts w:ascii="Aptos" w:hAnsi="Aptos"/>
                <w:sz w:val="16"/>
              </w:rPr>
              <w:t>CompliHub360 provides compliance information and technology-based matching services. We are not a law firm, accounting firm, tax adviser, customs broker, or regulatory authority, and we do not provide legal, tax, accounting, customs, or other regulated professional advice. Any professional services are provided by independent service providers under their own responsibility and terms.</w:t>
            </w:r>
          </w:p>
        </w:tc>
      </w:tr>
    </w:tbl>
    <w:p>
      <w:pPr>
        <w:spacing w:after="0"/>
      </w:pPr>
    </w:p>
    <w:p>
      <w:pPr>
        <w:pStyle w:val="Heading3"/>
      </w:pPr>
      <w:r>
        <w:t>Approved legal links</w:t>
      </w:r>
    </w:p>
    <w:p>
      <w:r>
        <w:t>Privacy Policy · Terms of Use · Cookie Policy · Legal Notice · Privacy Choices · Subprocessor List</w:t>
      </w:r>
    </w:p>
    <w:p>
      <w:r>
        <w:t>© 2026 CompliHub360. All rights reserved.</w:t>
      </w:r>
    </w:p>
    <w:tbl>
      <w:tblPr>
        <w:tblW w:type="auto" w:w="0"/>
        <w:jc w:val="center"/>
        <w:tblLayout w:type="fixed"/>
        <w:tblLook w:firstColumn="1" w:firstRow="1" w:lastColumn="0" w:lastRow="0" w:noHBand="0" w:noVBand="1" w:val="04A0"/>
      </w:tblPr>
      <w:tblGrid>
        <w:gridCol w:w="9792"/>
      </w:tblGrid>
      <w:tr>
        <w:trPr>
          <w:cantSplit/>
        </w:trPr>
        <w:tc>
          <w:tcPr>
            <w:tcW w:type="dxa" w:w="9994"/>
            <w:shd w:fill="EEF4F7"/>
            <w:tcMar>
              <w:top w:w="90" w:type="dxa"/>
              <w:start w:w="110" w:type="dxa"/>
              <w:bottom w:w="90" w:type="dxa"/>
              <w:end w:w="110" w:type="dxa"/>
            </w:tcMar>
            <w:vAlign w:val="center"/>
          </w:tcPr>
          <w:p>
            <w:pPr>
              <w:pStyle w:val="DevNote"/>
            </w:pPr>
            <w:r>
              <w:rPr>
                <w:rFonts w:ascii="Aptos" w:hAnsi="Aptos"/>
                <w:b/>
                <w:color w:val="14A6A1"/>
                <w:sz w:val="16"/>
              </w:rPr>
              <w:t>LEGAL REVIEW</w:t>
            </w:r>
          </w:p>
          <w:p>
            <w:pPr>
              <w:pStyle w:val="DevNote"/>
              <w:spacing w:after="40"/>
            </w:pPr>
            <w:r>
              <w:rPr>
                <w:rFonts w:ascii="Aptos" w:hAnsi="Aptos"/>
                <w:sz w:val="16"/>
              </w:rPr>
              <w:t>Use “Beta” only while the public platform is genuinely in beta. Confirm required legal links with counsel and actual jurisdictional obligations. Use “Legal Notice” in English; use “Impressum” on a German version only if required. Publish a Subprocessor List only when maintained and accurate.</w:t>
            </w:r>
          </w:p>
        </w:tc>
      </w:tr>
    </w:tbl>
    <w:p>
      <w:pPr>
        <w:spacing w:after="0"/>
      </w:pPr>
    </w:p>
    <w:p>
      <w:pPr>
        <w:pStyle w:val="Heading1"/>
      </w:pPr>
      <w:r>
        <w:t>13. Matching, Booking, and Information-Sharing Logic</w:t>
      </w:r>
    </w:p>
    <w:p>
      <w:r>
        <w:t>The following sequence is a functional requirement. Copy, screens, permissions, and analytics should follow the same order.</w:t>
      </w:r>
    </w:p>
    <w:p>
      <w:pPr>
        <w:pStyle w:val="ListNumber"/>
      </w:pPr>
      <w:r>
        <w:t>The user asks a question or completes the assessment.</w:t>
      </w:r>
    </w:p>
    <w:p>
      <w:pPr>
        <w:pStyle w:val="ListNumber"/>
      </w:pPr>
      <w:r>
        <w:t>The user receives an initial Risk Map without creating an account.</w:t>
      </w:r>
    </w:p>
    <w:p>
      <w:pPr>
        <w:pStyle w:val="ListNumber"/>
      </w:pPr>
      <w:r>
        <w:t>The user creates a free account to save results and see best matches.</w:t>
      </w:r>
    </w:p>
    <w:p>
      <w:pPr>
        <w:pStyle w:val="ListNumber"/>
      </w:pPr>
      <w:r>
        <w:t>The platform displays anonymous provider matches and non-identifying comparison criteria.</w:t>
      </w:r>
    </w:p>
    <w:p>
      <w:pPr>
        <w:pStyle w:val="ListNumber"/>
      </w:pPr>
      <w:r>
        <w:t>The user selects one or more providers.</w:t>
      </w:r>
    </w:p>
    <w:p>
      <w:pPr>
        <w:pStyle w:val="ListNumber"/>
      </w:pPr>
      <w:r>
        <w:t>The user reviews what information will be shared and books a consultation.</w:t>
      </w:r>
    </w:p>
    <w:p>
      <w:pPr>
        <w:pStyle w:val="ListNumber"/>
      </w:pPr>
      <w:r>
        <w:t>The selected provider’s name and full profile are revealed.</w:t>
      </w:r>
    </w:p>
    <w:p>
      <w:pPr>
        <w:pStyle w:val="ListNumber"/>
      </w:pPr>
      <w:r>
        <w:t>Only the information required to process that request is shared.</w:t>
      </w:r>
    </w:p>
    <w:p>
      <w:pPr>
        <w:pStyle w:val="ListNumber"/>
      </w:pPr>
      <w:r>
        <w:t>The provider confirms scope, final price, expected timeline, and terms.</w:t>
      </w:r>
    </w:p>
    <w:p>
      <w:pPr>
        <w:pStyle w:val="ListNumber"/>
      </w:pPr>
      <w:r>
        <w:t>Professional work begins only after the user approves it.</w:t>
      </w:r>
    </w:p>
    <w:tbl>
      <w:tblPr>
        <w:tblW w:type="auto" w:w="0"/>
        <w:jc w:val="center"/>
        <w:tblLayout w:type="fixed"/>
        <w:tblLook w:firstColumn="1" w:firstRow="1" w:lastColumn="0" w:lastRow="0" w:noHBand="0" w:noVBand="1" w:val="04A0"/>
      </w:tblPr>
      <w:tblGrid>
        <w:gridCol w:w="9792"/>
      </w:tblGrid>
      <w:tr>
        <w:trPr>
          <w:cantSplit/>
        </w:trPr>
        <w:tc>
          <w:tcPr>
            <w:tcW w:type="dxa" w:w="9994"/>
            <w:shd w:fill="EEF4F7"/>
            <w:tcMar>
              <w:top w:w="90" w:type="dxa"/>
              <w:start w:w="110" w:type="dxa"/>
              <w:bottom w:w="90" w:type="dxa"/>
              <w:end w:w="110" w:type="dxa"/>
            </w:tcMar>
            <w:vAlign w:val="center"/>
          </w:tcPr>
          <w:p>
            <w:pPr>
              <w:pStyle w:val="DevNote"/>
            </w:pPr>
            <w:r>
              <w:rPr>
                <w:rFonts w:ascii="Aptos" w:hAnsi="Aptos"/>
                <w:b/>
                <w:color w:val="14A6A1"/>
                <w:sz w:val="16"/>
              </w:rPr>
              <w:t>PRIVACY-CRITICAL IMPLEMENTATION</w:t>
            </w:r>
          </w:p>
          <w:p>
            <w:pPr>
              <w:pStyle w:val="DevNote"/>
              <w:spacing w:after="40"/>
            </w:pPr>
            <w:r>
              <w:rPr>
                <w:rFonts w:ascii="Aptos" w:hAnsi="Aptos"/>
                <w:sz w:val="16"/>
              </w:rPr>
              <w:t>Never reveal provider-identifying information before the required selection/booking event. Never share the user’s information with unselected providers. Never automatically route information to an alternative provider.</w:t>
            </w:r>
          </w:p>
        </w:tc>
      </w:tr>
    </w:tbl>
    <w:p>
      <w:pPr>
        <w:spacing w:after="0"/>
      </w:pPr>
    </w:p>
    <w:p>
      <w:pPr>
        <w:pStyle w:val="Heading1"/>
      </w:pPr>
      <w:r>
        <w:t>14. Content and Interface Standards</w:t>
      </w:r>
    </w:p>
    <w:p>
      <w:pPr>
        <w:pStyle w:val="Heading2"/>
      </w:pPr>
      <w:r>
        <w:t>Capitalization</w:t>
      </w:r>
    </w:p>
    <w:p>
      <w:pPr>
        <w:pStyle w:val="ListBullet"/>
      </w:pPr>
      <w:r>
        <w:t>Use title case for primary buttons and navigation labels.</w:t>
      </w:r>
    </w:p>
    <w:p>
      <w:pPr>
        <w:pStyle w:val="ListBullet"/>
      </w:pPr>
      <w:r>
        <w:t>Use sentence case for descriptions, help text, and status explanations.</w:t>
      </w:r>
    </w:p>
    <w:p>
      <w:pPr>
        <w:pStyle w:val="ListBullet"/>
      </w:pPr>
      <w:r>
        <w:t>Capitalize Risk Map, Verified Provider, and CompliHub360 when used as defined platform terms.</w:t>
      </w:r>
    </w:p>
    <w:p>
      <w:pPr>
        <w:pStyle w:val="Heading2"/>
      </w:pPr>
      <w:r>
        <w:t>Language</w:t>
      </w:r>
    </w:p>
    <w:p>
      <w:pPr>
        <w:pStyle w:val="ListBullet"/>
      </w:pPr>
      <w:r>
        <w:t>Use clear international English and U.S. spelling, including “authorized.”</w:t>
      </w:r>
    </w:p>
    <w:p>
      <w:pPr>
        <w:pStyle w:val="ListBullet"/>
      </w:pPr>
      <w:r>
        <w:t>Preserve official technical terms such as EPR, RoPA, DPIA, EORI, HS classification, Incoterms, CE, and UKCA.</w:t>
      </w:r>
    </w:p>
    <w:p>
      <w:pPr>
        <w:pStyle w:val="ListBullet"/>
      </w:pPr>
      <w:r>
        <w:t>Explain technical terms through tooltips rather than replacing them with inaccurate casual language.</w:t>
      </w:r>
    </w:p>
    <w:p>
      <w:pPr>
        <w:pStyle w:val="ListBullet"/>
      </w:pPr>
      <w:r>
        <w:t>Avoid “guaranteed,” “fully compliant,” “risk-free,” “best provider,” or similar absolute claims.</w:t>
      </w:r>
    </w:p>
    <w:p>
      <w:pPr>
        <w:pStyle w:val="ListBullet"/>
      </w:pPr>
      <w:r>
        <w:t>Use “may apply” and the approved status labels whenever applicability depends on additional facts.</w:t>
      </w:r>
    </w:p>
    <w:p>
      <w:pPr>
        <w:pStyle w:val="Heading2"/>
      </w:pPr>
      <w:r>
        <w:t>Accessibility</w:t>
      </w:r>
    </w:p>
    <w:p>
      <w:pPr>
        <w:pStyle w:val="ListBullet"/>
      </w:pPr>
      <w:r>
        <w:t>Tooltips must be accessible by keyboard and assistive technology, not hover-only.</w:t>
      </w:r>
    </w:p>
    <w:p>
      <w:pPr>
        <w:pStyle w:val="ListBullet"/>
      </w:pPr>
      <w:r>
        <w:t>Do not rely on color alone for priority or status. Include visible text labels and accessible names.</w:t>
      </w:r>
    </w:p>
    <w:p>
      <w:pPr>
        <w:pStyle w:val="ListBullet"/>
      </w:pPr>
      <w:r>
        <w:t>Form errors must explain what needs to be corrected.</w:t>
      </w:r>
    </w:p>
    <w:p>
      <w:pPr>
        <w:pStyle w:val="ListBullet"/>
      </w:pPr>
      <w:r>
        <w:t>Buttons and links must have distinct, descriptive labels.</w:t>
      </w:r>
    </w:p>
    <w:p>
      <w:pPr>
        <w:pStyle w:val="ListBullet"/>
      </w:pPr>
      <w:r>
        <w:t>Country, region, and area selections must support keyboard navigation and clear selected states.</w:t>
      </w:r>
    </w:p>
    <w:p>
      <w:pPr>
        <w:pStyle w:val="Heading1"/>
      </w:pPr>
      <w:r>
        <w:t>15. Confirm Before Launch</w:t>
      </w:r>
    </w:p>
    <w:tbl>
      <w:tblPr>
        <w:tblStyle w:val="LightShading-Accent1"/>
        <w:tblW w:type="auto" w:w="0"/>
        <w:tblLook w:firstColumn="1" w:firstRow="1" w:lastColumn="0" w:lastRow="0" w:noHBand="0" w:noVBand="1" w:val="04A0"/>
      </w:tblPr>
      <w:tblGrid>
        <w:gridCol w:w="3331"/>
        <w:gridCol w:w="3331"/>
        <w:gridCol w:w="3331"/>
      </w:tblGrid>
      <w:tr>
        <w:trPr>
          <w:cantSplit/>
          <w:tblHeader w:val="true"/>
        </w:trPr>
        <w:tc>
          <w:tcPr>
            <w:tcW w:type="dxa" w:w="3331"/>
            <w:tcMar>
              <w:top w:w="90" w:type="dxa"/>
              <w:start w:w="110" w:type="dxa"/>
              <w:bottom w:w="90" w:type="dxa"/>
              <w:end w:w="110" w:type="dxa"/>
            </w:tcMar>
            <w:shd w:fill="123047"/>
          </w:tcPr>
          <w:p>
            <w:r>
              <w:rPr>
                <w:rFonts w:ascii="Aptos" w:hAnsi="Aptos"/>
                <w:b/>
                <w:color w:val="FFFFFF"/>
                <w:sz w:val="16"/>
              </w:rPr>
              <w:t>Area</w:t>
            </w:r>
          </w:p>
        </w:tc>
        <w:tc>
          <w:tcPr>
            <w:tcW w:type="dxa" w:w="3331"/>
            <w:tcMar>
              <w:top w:w="90" w:type="dxa"/>
              <w:start w:w="110" w:type="dxa"/>
              <w:bottom w:w="90" w:type="dxa"/>
              <w:end w:w="110" w:type="dxa"/>
            </w:tcMar>
            <w:shd w:fill="123047"/>
          </w:tcPr>
          <w:p>
            <w:r>
              <w:rPr>
                <w:rFonts w:ascii="Aptos" w:hAnsi="Aptos"/>
                <w:b/>
                <w:color w:val="FFFFFF"/>
                <w:sz w:val="16"/>
              </w:rPr>
              <w:t>Verification</w:t>
            </w:r>
          </w:p>
        </w:tc>
        <w:tc>
          <w:tcPr>
            <w:tcW w:type="dxa" w:w="3331"/>
            <w:tcMar>
              <w:top w:w="90" w:type="dxa"/>
              <w:start w:w="110" w:type="dxa"/>
              <w:bottom w:w="90" w:type="dxa"/>
              <w:end w:w="110" w:type="dxa"/>
            </w:tcMar>
            <w:shd w:fill="123047"/>
          </w:tcPr>
          <w:p>
            <w:r>
              <w:rPr>
                <w:rFonts w:ascii="Aptos" w:hAnsi="Aptos"/>
                <w:b/>
                <w:color w:val="FFFFFF"/>
                <w:sz w:val="16"/>
              </w:rPr>
              <w:t>Status</w:t>
            </w:r>
          </w:p>
        </w:tc>
      </w:tr>
      <w:tr>
        <w:trPr>
          <w:cantSplit/>
        </w:trPr>
        <w:tc>
          <w:tcPr>
            <w:tcW w:type="dxa" w:w="3331"/>
            <w:tcMar>
              <w:top w:w="90" w:type="dxa"/>
              <w:start w:w="110" w:type="dxa"/>
              <w:bottom w:w="90" w:type="dxa"/>
              <w:end w:w="110" w:type="dxa"/>
            </w:tcMar>
          </w:tcPr>
          <w:p>
            <w:r>
              <w:rPr>
                <w:rFonts w:ascii="Aptos" w:hAnsi="Aptos"/>
                <w:sz w:val="16"/>
              </w:rPr>
              <w:t>Assessment</w:t>
            </w:r>
          </w:p>
        </w:tc>
        <w:tc>
          <w:tcPr>
            <w:tcW w:type="dxa" w:w="3331"/>
            <w:tcMar>
              <w:top w:w="90" w:type="dxa"/>
              <w:start w:w="110" w:type="dxa"/>
              <w:bottom w:w="90" w:type="dxa"/>
              <w:end w:w="110" w:type="dxa"/>
            </w:tcMar>
          </w:tcPr>
          <w:p>
            <w:r>
              <w:rPr>
                <w:rFonts w:ascii="Aptos" w:hAnsi="Aptos"/>
                <w:sz w:val="16"/>
              </w:rPr>
              <w:t>Actual completion time and Risk Map generation performance</w:t>
            </w:r>
          </w:p>
        </w:tc>
        <w:tc>
          <w:tcPr>
            <w:tcW w:type="dxa" w:w="3331"/>
            <w:tcMar>
              <w:top w:w="90" w:type="dxa"/>
              <w:start w:w="110" w:type="dxa"/>
              <w:bottom w:w="90" w:type="dxa"/>
              <w:end w:w="110" w:type="dxa"/>
            </w:tcMar>
          </w:tcPr>
          <w:p>
            <w:r>
              <w:rPr>
                <w:rFonts w:ascii="Aptos" w:hAnsi="Aptos"/>
                <w:sz w:val="16"/>
              </w:rPr>
              <w:t>☐ Confirmed</w:t>
            </w:r>
          </w:p>
        </w:tc>
      </w:tr>
      <w:tr>
        <w:trPr>
          <w:cantSplit/>
        </w:trPr>
        <w:tc>
          <w:tcPr>
            <w:tcW w:type="dxa" w:w="3331"/>
            <w:tcMar>
              <w:top w:w="90" w:type="dxa"/>
              <w:start w:w="110" w:type="dxa"/>
              <w:bottom w:w="90" w:type="dxa"/>
              <w:end w:w="110" w:type="dxa"/>
            </w:tcMar>
          </w:tcPr>
          <w:p>
            <w:r>
              <w:rPr>
                <w:rFonts w:ascii="Aptos" w:hAnsi="Aptos"/>
                <w:sz w:val="16"/>
              </w:rPr>
              <w:t>Sources</w:t>
            </w:r>
          </w:p>
        </w:tc>
        <w:tc>
          <w:tcPr>
            <w:tcW w:type="dxa" w:w="3331"/>
            <w:tcMar>
              <w:top w:w="90" w:type="dxa"/>
              <w:start w:w="110" w:type="dxa"/>
              <w:bottom w:w="90" w:type="dxa"/>
              <w:end w:w="110" w:type="dxa"/>
            </w:tcMar>
          </w:tcPr>
          <w:p>
            <w:r>
              <w:rPr>
                <w:rFonts w:ascii="Aptos" w:hAnsi="Aptos"/>
                <w:sz w:val="16"/>
              </w:rPr>
              <w:t>Official source links, authority names, effective dates, and last-reviewed dates</w:t>
            </w:r>
          </w:p>
        </w:tc>
        <w:tc>
          <w:tcPr>
            <w:tcW w:type="dxa" w:w="3331"/>
            <w:tcMar>
              <w:top w:w="90" w:type="dxa"/>
              <w:start w:w="110" w:type="dxa"/>
              <w:bottom w:w="90" w:type="dxa"/>
              <w:end w:w="110" w:type="dxa"/>
            </w:tcMar>
          </w:tcPr>
          <w:p>
            <w:r>
              <w:rPr>
                <w:rFonts w:ascii="Aptos" w:hAnsi="Aptos"/>
                <w:sz w:val="16"/>
              </w:rPr>
              <w:t>☐ Confirmed</w:t>
            </w:r>
          </w:p>
        </w:tc>
      </w:tr>
      <w:tr>
        <w:trPr>
          <w:cantSplit/>
        </w:trPr>
        <w:tc>
          <w:tcPr>
            <w:tcW w:type="dxa" w:w="3331"/>
            <w:tcMar>
              <w:top w:w="90" w:type="dxa"/>
              <w:start w:w="110" w:type="dxa"/>
              <w:bottom w:w="90" w:type="dxa"/>
              <w:end w:w="110" w:type="dxa"/>
            </w:tcMar>
          </w:tcPr>
          <w:p>
            <w:r>
              <w:rPr>
                <w:rFonts w:ascii="Aptos" w:hAnsi="Aptos"/>
                <w:sz w:val="16"/>
              </w:rPr>
              <w:t>Matching</w:t>
            </w:r>
          </w:p>
        </w:tc>
        <w:tc>
          <w:tcPr>
            <w:tcW w:type="dxa" w:w="3331"/>
            <w:tcMar>
              <w:top w:w="90" w:type="dxa"/>
              <w:start w:w="110" w:type="dxa"/>
              <w:bottom w:w="90" w:type="dxa"/>
              <w:end w:w="110" w:type="dxa"/>
            </w:tcMar>
          </w:tcPr>
          <w:p>
            <w:r>
              <w:rPr>
                <w:rFonts w:ascii="Aptos" w:hAnsi="Aptos"/>
                <w:sz w:val="16"/>
              </w:rPr>
              <w:t>Match-score methodology and non-pay-to-rank controls</w:t>
            </w:r>
          </w:p>
        </w:tc>
        <w:tc>
          <w:tcPr>
            <w:tcW w:type="dxa" w:w="3331"/>
            <w:tcMar>
              <w:top w:w="90" w:type="dxa"/>
              <w:start w:w="110" w:type="dxa"/>
              <w:bottom w:w="90" w:type="dxa"/>
              <w:end w:w="110" w:type="dxa"/>
            </w:tcMar>
          </w:tcPr>
          <w:p>
            <w:r>
              <w:rPr>
                <w:rFonts w:ascii="Aptos" w:hAnsi="Aptos"/>
                <w:sz w:val="16"/>
              </w:rPr>
              <w:t>☐ Confirmed</w:t>
            </w:r>
          </w:p>
        </w:tc>
      </w:tr>
      <w:tr>
        <w:trPr>
          <w:cantSplit/>
        </w:trPr>
        <w:tc>
          <w:tcPr>
            <w:tcW w:type="dxa" w:w="3331"/>
            <w:tcMar>
              <w:top w:w="90" w:type="dxa"/>
              <w:start w:w="110" w:type="dxa"/>
              <w:bottom w:w="90" w:type="dxa"/>
              <w:end w:w="110" w:type="dxa"/>
            </w:tcMar>
          </w:tcPr>
          <w:p>
            <w:r>
              <w:rPr>
                <w:rFonts w:ascii="Aptos" w:hAnsi="Aptos"/>
                <w:sz w:val="16"/>
              </w:rPr>
              <w:t>Provider verification</w:t>
            </w:r>
          </w:p>
        </w:tc>
        <w:tc>
          <w:tcPr>
            <w:tcW w:type="dxa" w:w="3331"/>
            <w:tcMar>
              <w:top w:w="90" w:type="dxa"/>
              <w:start w:w="110" w:type="dxa"/>
              <w:bottom w:w="90" w:type="dxa"/>
              <w:end w:w="110" w:type="dxa"/>
            </w:tcMar>
          </w:tcPr>
          <w:p>
            <w:r>
              <w:rPr>
                <w:rFonts w:ascii="Aptos" w:hAnsi="Aptos"/>
                <w:sz w:val="16"/>
              </w:rPr>
              <w:t>Criteria, licenses, certifications, professional memberships, ongoing monitoring</w:t>
            </w:r>
          </w:p>
        </w:tc>
        <w:tc>
          <w:tcPr>
            <w:tcW w:type="dxa" w:w="3331"/>
            <w:tcMar>
              <w:top w:w="90" w:type="dxa"/>
              <w:start w:w="110" w:type="dxa"/>
              <w:bottom w:w="90" w:type="dxa"/>
              <w:end w:w="110" w:type="dxa"/>
            </w:tcMar>
          </w:tcPr>
          <w:p>
            <w:r>
              <w:rPr>
                <w:rFonts w:ascii="Aptos" w:hAnsi="Aptos"/>
                <w:sz w:val="16"/>
              </w:rPr>
              <w:t>☐ Confirmed</w:t>
            </w:r>
          </w:p>
        </w:tc>
      </w:tr>
      <w:tr>
        <w:trPr>
          <w:cantSplit/>
        </w:trPr>
        <w:tc>
          <w:tcPr>
            <w:tcW w:type="dxa" w:w="3331"/>
            <w:tcMar>
              <w:top w:w="90" w:type="dxa"/>
              <w:start w:w="110" w:type="dxa"/>
              <w:bottom w:w="90" w:type="dxa"/>
              <w:end w:w="110" w:type="dxa"/>
            </w:tcMar>
          </w:tcPr>
          <w:p>
            <w:r>
              <w:rPr>
                <w:rFonts w:ascii="Aptos" w:hAnsi="Aptos"/>
                <w:sz w:val="16"/>
              </w:rPr>
              <w:t>Provider identity</w:t>
            </w:r>
          </w:p>
        </w:tc>
        <w:tc>
          <w:tcPr>
            <w:tcW w:type="dxa" w:w="3331"/>
            <w:tcMar>
              <w:top w:w="90" w:type="dxa"/>
              <w:start w:w="110" w:type="dxa"/>
              <w:bottom w:w="90" w:type="dxa"/>
              <w:end w:w="110" w:type="dxa"/>
            </w:tcMar>
          </w:tcPr>
          <w:p>
            <w:r>
              <w:rPr>
                <w:rFonts w:ascii="Aptos" w:hAnsi="Aptos"/>
                <w:sz w:val="16"/>
              </w:rPr>
              <w:t>No names, logos, URLs, exact awards, or identifying credentials before booking</w:t>
            </w:r>
          </w:p>
        </w:tc>
        <w:tc>
          <w:tcPr>
            <w:tcW w:type="dxa" w:w="3331"/>
            <w:tcMar>
              <w:top w:w="90" w:type="dxa"/>
              <w:start w:w="110" w:type="dxa"/>
              <w:bottom w:w="90" w:type="dxa"/>
              <w:end w:w="110" w:type="dxa"/>
            </w:tcMar>
          </w:tcPr>
          <w:p>
            <w:r>
              <w:rPr>
                <w:rFonts w:ascii="Aptos" w:hAnsi="Aptos"/>
                <w:sz w:val="16"/>
              </w:rPr>
              <w:t>☐ Confirmed</w:t>
            </w:r>
          </w:p>
        </w:tc>
      </w:tr>
      <w:tr>
        <w:trPr>
          <w:cantSplit/>
        </w:trPr>
        <w:tc>
          <w:tcPr>
            <w:tcW w:type="dxa" w:w="3331"/>
            <w:tcMar>
              <w:top w:w="90" w:type="dxa"/>
              <w:start w:w="110" w:type="dxa"/>
              <w:bottom w:w="90" w:type="dxa"/>
              <w:end w:w="110" w:type="dxa"/>
            </w:tcMar>
          </w:tcPr>
          <w:p>
            <w:r>
              <w:rPr>
                <w:rFonts w:ascii="Aptos" w:hAnsi="Aptos"/>
                <w:sz w:val="16"/>
              </w:rPr>
              <w:t>Reviews</w:t>
            </w:r>
          </w:p>
        </w:tc>
        <w:tc>
          <w:tcPr>
            <w:tcW w:type="dxa" w:w="3331"/>
            <w:tcMar>
              <w:top w:w="90" w:type="dxa"/>
              <w:start w:w="110" w:type="dxa"/>
              <w:bottom w:w="90" w:type="dxa"/>
              <w:end w:w="110" w:type="dxa"/>
            </w:tcMar>
          </w:tcPr>
          <w:p>
            <w:r>
              <w:rPr>
                <w:rFonts w:ascii="Aptos" w:hAnsi="Aptos"/>
                <w:sz w:val="16"/>
              </w:rPr>
              <w:t>Permitted sources, rating/count/date/link, verification method</w:t>
            </w:r>
          </w:p>
        </w:tc>
        <w:tc>
          <w:tcPr>
            <w:tcW w:type="dxa" w:w="3331"/>
            <w:tcMar>
              <w:top w:w="90" w:type="dxa"/>
              <w:start w:w="110" w:type="dxa"/>
              <w:bottom w:w="90" w:type="dxa"/>
              <w:end w:w="110" w:type="dxa"/>
            </w:tcMar>
          </w:tcPr>
          <w:p>
            <w:r>
              <w:rPr>
                <w:rFonts w:ascii="Aptos" w:hAnsi="Aptos"/>
                <w:sz w:val="16"/>
              </w:rPr>
              <w:t>☐ Confirmed</w:t>
            </w:r>
          </w:p>
        </w:tc>
      </w:tr>
      <w:tr>
        <w:trPr>
          <w:cantSplit/>
        </w:trPr>
        <w:tc>
          <w:tcPr>
            <w:tcW w:type="dxa" w:w="3331"/>
            <w:tcMar>
              <w:top w:w="90" w:type="dxa"/>
              <w:start w:w="110" w:type="dxa"/>
              <w:bottom w:w="90" w:type="dxa"/>
              <w:end w:w="110" w:type="dxa"/>
            </w:tcMar>
          </w:tcPr>
          <w:p>
            <w:r>
              <w:rPr>
                <w:rFonts w:ascii="Aptos" w:hAnsi="Aptos"/>
                <w:sz w:val="16"/>
              </w:rPr>
              <w:t>Timelines</w:t>
            </w:r>
          </w:p>
        </w:tc>
        <w:tc>
          <w:tcPr>
            <w:tcW w:type="dxa" w:w="3331"/>
            <w:tcMar>
              <w:top w:w="90" w:type="dxa"/>
              <w:start w:w="110" w:type="dxa"/>
              <w:bottom w:w="90" w:type="dxa"/>
              <w:end w:w="110" w:type="dxa"/>
            </w:tcMar>
          </w:tcPr>
          <w:p>
            <w:r>
              <w:rPr>
                <w:rFonts w:ascii="Aptos" w:hAnsi="Aptos"/>
                <w:sz w:val="16"/>
              </w:rPr>
              <w:t>Expected response time, average service timeline, and authority processing time shown separately</w:t>
            </w:r>
          </w:p>
        </w:tc>
        <w:tc>
          <w:tcPr>
            <w:tcW w:type="dxa" w:w="3331"/>
            <w:tcMar>
              <w:top w:w="90" w:type="dxa"/>
              <w:start w:w="110" w:type="dxa"/>
              <w:bottom w:w="90" w:type="dxa"/>
              <w:end w:w="110" w:type="dxa"/>
            </w:tcMar>
          </w:tcPr>
          <w:p>
            <w:r>
              <w:rPr>
                <w:rFonts w:ascii="Aptos" w:hAnsi="Aptos"/>
                <w:sz w:val="16"/>
              </w:rPr>
              <w:t>☐ Confirmed</w:t>
            </w:r>
          </w:p>
        </w:tc>
      </w:tr>
      <w:tr>
        <w:trPr>
          <w:cantSplit/>
        </w:trPr>
        <w:tc>
          <w:tcPr>
            <w:tcW w:type="dxa" w:w="3331"/>
            <w:tcMar>
              <w:top w:w="90" w:type="dxa"/>
              <w:start w:w="110" w:type="dxa"/>
              <w:bottom w:w="90" w:type="dxa"/>
              <w:end w:w="110" w:type="dxa"/>
            </w:tcMar>
          </w:tcPr>
          <w:p>
            <w:r>
              <w:rPr>
                <w:rFonts w:ascii="Aptos" w:hAnsi="Aptos"/>
                <w:sz w:val="16"/>
              </w:rPr>
              <w:t>Alternatives</w:t>
            </w:r>
          </w:p>
        </w:tc>
        <w:tc>
          <w:tcPr>
            <w:tcW w:type="dxa" w:w="3331"/>
            <w:tcMar>
              <w:top w:w="90" w:type="dxa"/>
              <w:start w:w="110" w:type="dxa"/>
              <w:bottom w:w="90" w:type="dxa"/>
              <w:end w:w="110" w:type="dxa"/>
            </w:tcMar>
          </w:tcPr>
          <w:p>
            <w:r>
              <w:rPr>
                <w:rFonts w:ascii="Aptos" w:hAnsi="Aptos"/>
                <w:sz w:val="16"/>
              </w:rPr>
              <w:t>No automatic rerouting or information sharing without user approval</w:t>
            </w:r>
          </w:p>
        </w:tc>
        <w:tc>
          <w:tcPr>
            <w:tcW w:type="dxa" w:w="3331"/>
            <w:tcMar>
              <w:top w:w="90" w:type="dxa"/>
              <w:start w:w="110" w:type="dxa"/>
              <w:bottom w:w="90" w:type="dxa"/>
              <w:end w:w="110" w:type="dxa"/>
            </w:tcMar>
          </w:tcPr>
          <w:p>
            <w:r>
              <w:rPr>
                <w:rFonts w:ascii="Aptos" w:hAnsi="Aptos"/>
                <w:sz w:val="16"/>
              </w:rPr>
              <w:t>☐ Confirmed</w:t>
            </w:r>
          </w:p>
        </w:tc>
      </w:tr>
      <w:tr>
        <w:trPr>
          <w:cantSplit/>
        </w:trPr>
        <w:tc>
          <w:tcPr>
            <w:tcW w:type="dxa" w:w="3331"/>
            <w:tcMar>
              <w:top w:w="90" w:type="dxa"/>
              <w:start w:w="110" w:type="dxa"/>
              <w:bottom w:w="90" w:type="dxa"/>
              <w:end w:w="110" w:type="dxa"/>
            </w:tcMar>
          </w:tcPr>
          <w:p>
            <w:r>
              <w:rPr>
                <w:rFonts w:ascii="Aptos" w:hAnsi="Aptos"/>
                <w:sz w:val="16"/>
              </w:rPr>
              <w:t>Workspace</w:t>
            </w:r>
          </w:p>
        </w:tc>
        <w:tc>
          <w:tcPr>
            <w:tcW w:type="dxa" w:w="3331"/>
            <w:tcMar>
              <w:top w:w="90" w:type="dxa"/>
              <w:start w:w="110" w:type="dxa"/>
              <w:bottom w:w="90" w:type="dxa"/>
              <w:end w:w="110" w:type="dxa"/>
            </w:tcMar>
          </w:tcPr>
          <w:p>
            <w:r>
              <w:rPr>
                <w:rFonts w:ascii="Aptos" w:hAnsi="Aptos"/>
                <w:sz w:val="16"/>
              </w:rPr>
              <w:t>Saved Risk Maps, consultations, documents, deadlines, and engagement history actually available</w:t>
            </w:r>
          </w:p>
        </w:tc>
        <w:tc>
          <w:tcPr>
            <w:tcW w:type="dxa" w:w="3331"/>
            <w:tcMar>
              <w:top w:w="90" w:type="dxa"/>
              <w:start w:w="110" w:type="dxa"/>
              <w:bottom w:w="90" w:type="dxa"/>
              <w:end w:w="110" w:type="dxa"/>
            </w:tcMar>
          </w:tcPr>
          <w:p>
            <w:r>
              <w:rPr>
                <w:rFonts w:ascii="Aptos" w:hAnsi="Aptos"/>
                <w:sz w:val="16"/>
              </w:rPr>
              <w:t>☐ Confirmed</w:t>
            </w:r>
          </w:p>
        </w:tc>
      </w:tr>
      <w:tr>
        <w:trPr>
          <w:cantSplit/>
        </w:trPr>
        <w:tc>
          <w:tcPr>
            <w:tcW w:type="dxa" w:w="3331"/>
            <w:tcMar>
              <w:top w:w="90" w:type="dxa"/>
              <w:start w:w="110" w:type="dxa"/>
              <w:bottom w:w="90" w:type="dxa"/>
              <w:end w:w="110" w:type="dxa"/>
            </w:tcMar>
          </w:tcPr>
          <w:p>
            <w:r>
              <w:rPr>
                <w:rFonts w:ascii="Aptos" w:hAnsi="Aptos"/>
                <w:sz w:val="16"/>
              </w:rPr>
              <w:t>Exports</w:t>
            </w:r>
          </w:p>
        </w:tc>
        <w:tc>
          <w:tcPr>
            <w:tcW w:type="dxa" w:w="3331"/>
            <w:tcMar>
              <w:top w:w="90" w:type="dxa"/>
              <w:start w:w="110" w:type="dxa"/>
              <w:bottom w:w="90" w:type="dxa"/>
              <w:end w:w="110" w:type="dxa"/>
            </w:tcMar>
          </w:tcPr>
          <w:p>
            <w:r>
              <w:rPr>
                <w:rFonts w:ascii="Aptos" w:hAnsi="Aptos"/>
                <w:sz w:val="16"/>
              </w:rPr>
              <w:t>PDF, CSV, and API availability accurately labeled</w:t>
            </w:r>
          </w:p>
        </w:tc>
        <w:tc>
          <w:tcPr>
            <w:tcW w:type="dxa" w:w="3331"/>
            <w:tcMar>
              <w:top w:w="90" w:type="dxa"/>
              <w:start w:w="110" w:type="dxa"/>
              <w:bottom w:w="90" w:type="dxa"/>
              <w:end w:w="110" w:type="dxa"/>
            </w:tcMar>
          </w:tcPr>
          <w:p>
            <w:r>
              <w:rPr>
                <w:rFonts w:ascii="Aptos" w:hAnsi="Aptos"/>
                <w:sz w:val="16"/>
              </w:rPr>
              <w:t>☐ Confirmed</w:t>
            </w:r>
          </w:p>
        </w:tc>
      </w:tr>
      <w:tr>
        <w:trPr>
          <w:cantSplit/>
        </w:trPr>
        <w:tc>
          <w:tcPr>
            <w:tcW w:type="dxa" w:w="3331"/>
            <w:tcMar>
              <w:top w:w="90" w:type="dxa"/>
              <w:start w:w="110" w:type="dxa"/>
              <w:bottom w:w="90" w:type="dxa"/>
              <w:end w:w="110" w:type="dxa"/>
            </w:tcMar>
          </w:tcPr>
          <w:p>
            <w:r>
              <w:rPr>
                <w:rFonts w:ascii="Aptos" w:hAnsi="Aptos"/>
                <w:sz w:val="16"/>
              </w:rPr>
              <w:t>Alerts</w:t>
            </w:r>
          </w:p>
        </w:tc>
        <w:tc>
          <w:tcPr>
            <w:tcW w:type="dxa" w:w="3331"/>
            <w:tcMar>
              <w:top w:w="90" w:type="dxa"/>
              <w:start w:w="110" w:type="dxa"/>
              <w:bottom w:w="90" w:type="dxa"/>
              <w:end w:w="110" w:type="dxa"/>
            </w:tcMar>
          </w:tcPr>
          <w:p>
            <w:r>
              <w:rPr>
                <w:rFonts w:ascii="Aptos" w:hAnsi="Aptos"/>
                <w:sz w:val="16"/>
              </w:rPr>
              <w:t>Personalized and real-time claims match actual capability</w:t>
            </w:r>
          </w:p>
        </w:tc>
        <w:tc>
          <w:tcPr>
            <w:tcW w:type="dxa" w:w="3331"/>
            <w:tcMar>
              <w:top w:w="90" w:type="dxa"/>
              <w:start w:w="110" w:type="dxa"/>
              <w:bottom w:w="90" w:type="dxa"/>
              <w:end w:w="110" w:type="dxa"/>
            </w:tcMar>
          </w:tcPr>
          <w:p>
            <w:r>
              <w:rPr>
                <w:rFonts w:ascii="Aptos" w:hAnsi="Aptos"/>
                <w:sz w:val="16"/>
              </w:rPr>
              <w:t>☐ Confirmed</w:t>
            </w:r>
          </w:p>
        </w:tc>
      </w:tr>
      <w:tr>
        <w:trPr>
          <w:cantSplit/>
        </w:trPr>
        <w:tc>
          <w:tcPr>
            <w:tcW w:type="dxa" w:w="3331"/>
            <w:tcMar>
              <w:top w:w="90" w:type="dxa"/>
              <w:start w:w="110" w:type="dxa"/>
              <w:bottom w:w="90" w:type="dxa"/>
              <w:end w:w="110" w:type="dxa"/>
            </w:tcMar>
          </w:tcPr>
          <w:p>
            <w:r>
              <w:rPr>
                <w:rFonts w:ascii="Aptos" w:hAnsi="Aptos"/>
                <w:sz w:val="16"/>
              </w:rPr>
              <w:t>Newsletter</w:t>
            </w:r>
          </w:p>
        </w:tc>
        <w:tc>
          <w:tcPr>
            <w:tcW w:type="dxa" w:w="3331"/>
            <w:tcMar>
              <w:top w:w="90" w:type="dxa"/>
              <w:start w:w="110" w:type="dxa"/>
              <w:bottom w:w="90" w:type="dxa"/>
              <w:end w:w="110" w:type="dxa"/>
            </w:tcMar>
          </w:tcPr>
          <w:p>
            <w:r>
              <w:rPr>
                <w:rFonts w:ascii="Aptos" w:hAnsi="Aptos"/>
                <w:sz w:val="16"/>
              </w:rPr>
              <w:t>Consent records, double opt-in, unsubscribe, suppression handling</w:t>
            </w:r>
          </w:p>
        </w:tc>
        <w:tc>
          <w:tcPr>
            <w:tcW w:type="dxa" w:w="3331"/>
            <w:tcMar>
              <w:top w:w="90" w:type="dxa"/>
              <w:start w:w="110" w:type="dxa"/>
              <w:bottom w:w="90" w:type="dxa"/>
              <w:end w:w="110" w:type="dxa"/>
            </w:tcMar>
          </w:tcPr>
          <w:p>
            <w:r>
              <w:rPr>
                <w:rFonts w:ascii="Aptos" w:hAnsi="Aptos"/>
                <w:sz w:val="16"/>
              </w:rPr>
              <w:t>☐ Confirmed</w:t>
            </w:r>
          </w:p>
        </w:tc>
      </w:tr>
      <w:tr>
        <w:trPr>
          <w:cantSplit/>
        </w:trPr>
        <w:tc>
          <w:tcPr>
            <w:tcW w:type="dxa" w:w="3331"/>
            <w:tcMar>
              <w:top w:w="90" w:type="dxa"/>
              <w:start w:w="110" w:type="dxa"/>
              <w:bottom w:w="90" w:type="dxa"/>
              <w:end w:w="110" w:type="dxa"/>
            </w:tcMar>
          </w:tcPr>
          <w:p>
            <w:r>
              <w:rPr>
                <w:rFonts w:ascii="Aptos" w:hAnsi="Aptos"/>
                <w:sz w:val="16"/>
              </w:rPr>
              <w:t>Privacy</w:t>
            </w:r>
          </w:p>
        </w:tc>
        <w:tc>
          <w:tcPr>
            <w:tcW w:type="dxa" w:w="3331"/>
            <w:tcMar>
              <w:top w:w="90" w:type="dxa"/>
              <w:start w:w="110" w:type="dxa"/>
              <w:bottom w:w="90" w:type="dxa"/>
              <w:end w:w="110" w:type="dxa"/>
            </w:tcMar>
          </w:tcPr>
          <w:p>
            <w:r>
              <w:rPr>
                <w:rFonts w:ascii="Aptos" w:hAnsi="Aptos"/>
                <w:sz w:val="16"/>
              </w:rPr>
              <w:t>Pre-share notice, user confirmation, deletion/rights flow, final Privacy Policy alignment</w:t>
            </w:r>
          </w:p>
        </w:tc>
        <w:tc>
          <w:tcPr>
            <w:tcW w:type="dxa" w:w="3331"/>
            <w:tcMar>
              <w:top w:w="90" w:type="dxa"/>
              <w:start w:w="110" w:type="dxa"/>
              <w:bottom w:w="90" w:type="dxa"/>
              <w:end w:w="110" w:type="dxa"/>
            </w:tcMar>
          </w:tcPr>
          <w:p>
            <w:r>
              <w:rPr>
                <w:rFonts w:ascii="Aptos" w:hAnsi="Aptos"/>
                <w:sz w:val="16"/>
              </w:rPr>
              <w:t>☐ Confirmed</w:t>
            </w:r>
          </w:p>
        </w:tc>
      </w:tr>
      <w:tr>
        <w:trPr>
          <w:cantSplit/>
        </w:trPr>
        <w:tc>
          <w:tcPr>
            <w:tcW w:type="dxa" w:w="3331"/>
            <w:tcMar>
              <w:top w:w="90" w:type="dxa"/>
              <w:start w:w="110" w:type="dxa"/>
              <w:bottom w:w="90" w:type="dxa"/>
              <w:end w:w="110" w:type="dxa"/>
            </w:tcMar>
          </w:tcPr>
          <w:p>
            <w:r>
              <w:rPr>
                <w:rFonts w:ascii="Aptos" w:hAnsi="Aptos"/>
                <w:sz w:val="16"/>
              </w:rPr>
              <w:t>Security</w:t>
            </w:r>
          </w:p>
        </w:tc>
        <w:tc>
          <w:tcPr>
            <w:tcW w:type="dxa" w:w="3331"/>
            <w:tcMar>
              <w:top w:w="90" w:type="dxa"/>
              <w:start w:w="110" w:type="dxa"/>
              <w:bottom w:w="90" w:type="dxa"/>
              <w:end w:w="110" w:type="dxa"/>
            </w:tcMar>
          </w:tcPr>
          <w:p>
            <w:r>
              <w:rPr>
                <w:rFonts w:ascii="Aptos" w:hAnsi="Aptos"/>
                <w:sz w:val="16"/>
              </w:rPr>
              <w:t>Storage location, safeguards, encryption, access controls, and any certification claims verified</w:t>
            </w:r>
          </w:p>
        </w:tc>
        <w:tc>
          <w:tcPr>
            <w:tcW w:type="dxa" w:w="3331"/>
            <w:tcMar>
              <w:top w:w="90" w:type="dxa"/>
              <w:start w:w="110" w:type="dxa"/>
              <w:bottom w:w="90" w:type="dxa"/>
              <w:end w:w="110" w:type="dxa"/>
            </w:tcMar>
          </w:tcPr>
          <w:p>
            <w:r>
              <w:rPr>
                <w:rFonts w:ascii="Aptos" w:hAnsi="Aptos"/>
                <w:sz w:val="16"/>
              </w:rPr>
              <w:t>☐ Confirmed</w:t>
            </w:r>
          </w:p>
        </w:tc>
      </w:tr>
      <w:tr>
        <w:trPr>
          <w:cantSplit/>
        </w:trPr>
        <w:tc>
          <w:tcPr>
            <w:tcW w:type="dxa" w:w="3331"/>
            <w:tcMar>
              <w:top w:w="90" w:type="dxa"/>
              <w:start w:w="110" w:type="dxa"/>
              <w:bottom w:w="90" w:type="dxa"/>
              <w:end w:w="110" w:type="dxa"/>
            </w:tcMar>
          </w:tcPr>
          <w:p>
            <w:r>
              <w:rPr>
                <w:rFonts w:ascii="Aptos" w:hAnsi="Aptos"/>
                <w:sz w:val="16"/>
              </w:rPr>
              <w:t>Markets</w:t>
            </w:r>
          </w:p>
        </w:tc>
        <w:tc>
          <w:tcPr>
            <w:tcW w:type="dxa" w:w="3331"/>
            <w:tcMar>
              <w:top w:w="90" w:type="dxa"/>
              <w:start w:w="110" w:type="dxa"/>
              <w:bottom w:w="90" w:type="dxa"/>
              <w:end w:w="110" w:type="dxa"/>
            </w:tcMar>
          </w:tcPr>
          <w:p>
            <w:r>
              <w:rPr>
                <w:rFonts w:ascii="Aptos" w:hAnsi="Aptos"/>
                <w:sz w:val="16"/>
              </w:rPr>
              <w:t>Country/service/provider availability data reflects actual coverage</w:t>
            </w:r>
          </w:p>
        </w:tc>
        <w:tc>
          <w:tcPr>
            <w:tcW w:type="dxa" w:w="3331"/>
            <w:tcMar>
              <w:top w:w="90" w:type="dxa"/>
              <w:start w:w="110" w:type="dxa"/>
              <w:bottom w:w="90" w:type="dxa"/>
              <w:end w:w="110" w:type="dxa"/>
            </w:tcMar>
          </w:tcPr>
          <w:p>
            <w:r>
              <w:rPr>
                <w:rFonts w:ascii="Aptos" w:hAnsi="Aptos"/>
                <w:sz w:val="16"/>
              </w:rPr>
              <w:t>☐ Confirmed</w:t>
            </w:r>
          </w:p>
        </w:tc>
      </w:tr>
      <w:tr>
        <w:trPr>
          <w:cantSplit/>
        </w:trPr>
        <w:tc>
          <w:tcPr>
            <w:tcW w:type="dxa" w:w="3331"/>
            <w:tcMar>
              <w:top w:w="90" w:type="dxa"/>
              <w:start w:w="110" w:type="dxa"/>
              <w:bottom w:w="90" w:type="dxa"/>
              <w:end w:w="110" w:type="dxa"/>
            </w:tcMar>
          </w:tcPr>
          <w:p>
            <w:r>
              <w:rPr>
                <w:rFonts w:ascii="Aptos" w:hAnsi="Aptos"/>
                <w:sz w:val="16"/>
              </w:rPr>
              <w:t>Legal</w:t>
            </w:r>
          </w:p>
        </w:tc>
        <w:tc>
          <w:tcPr>
            <w:tcW w:type="dxa" w:w="3331"/>
            <w:tcMar>
              <w:top w:w="90" w:type="dxa"/>
              <w:start w:w="110" w:type="dxa"/>
              <w:bottom w:w="90" w:type="dxa"/>
              <w:end w:w="110" w:type="dxa"/>
            </w:tcMar>
          </w:tcPr>
          <w:p>
            <w:r>
              <w:rPr>
                <w:rFonts w:ascii="Aptos" w:hAnsi="Aptos"/>
                <w:sz w:val="16"/>
              </w:rPr>
              <w:t>Terms of Use, Cookie Policy, Legal Notice, Privacy Choices, and Subprocessor List reviewed</w:t>
            </w:r>
          </w:p>
        </w:tc>
        <w:tc>
          <w:tcPr>
            <w:tcW w:type="dxa" w:w="3331"/>
            <w:tcMar>
              <w:top w:w="90" w:type="dxa"/>
              <w:start w:w="110" w:type="dxa"/>
              <w:bottom w:w="90" w:type="dxa"/>
              <w:end w:w="110" w:type="dxa"/>
            </w:tcMar>
          </w:tcPr>
          <w:p>
            <w:r>
              <w:rPr>
                <w:rFonts w:ascii="Aptos" w:hAnsi="Aptos"/>
                <w:sz w:val="16"/>
              </w:rPr>
              <w:t>☐ Confirmed</w:t>
            </w:r>
          </w:p>
        </w:tc>
      </w:tr>
      <w:tr>
        <w:trPr>
          <w:cantSplit/>
        </w:trPr>
        <w:tc>
          <w:tcPr>
            <w:tcW w:type="dxa" w:w="3331"/>
            <w:tcMar>
              <w:top w:w="90" w:type="dxa"/>
              <w:start w:w="110" w:type="dxa"/>
              <w:bottom w:w="90" w:type="dxa"/>
              <w:end w:w="110" w:type="dxa"/>
            </w:tcMar>
          </w:tcPr>
          <w:p>
            <w:r>
              <w:rPr>
                <w:rFonts w:ascii="Aptos" w:hAnsi="Aptos"/>
                <w:sz w:val="16"/>
              </w:rPr>
              <w:t>Beta</w:t>
            </w:r>
          </w:p>
        </w:tc>
        <w:tc>
          <w:tcPr>
            <w:tcW w:type="dxa" w:w="3331"/>
            <w:tcMar>
              <w:top w:w="90" w:type="dxa"/>
              <w:start w:w="110" w:type="dxa"/>
              <w:bottom w:w="90" w:type="dxa"/>
              <w:end w:w="110" w:type="dxa"/>
            </w:tcMar>
          </w:tcPr>
          <w:p>
            <w:r>
              <w:rPr>
                <w:rFonts w:ascii="Aptos" w:hAnsi="Aptos"/>
                <w:sz w:val="16"/>
              </w:rPr>
              <w:t>All Available now / Coming in beta labels correct at deployment</w:t>
            </w:r>
          </w:p>
        </w:tc>
        <w:tc>
          <w:tcPr>
            <w:tcW w:type="dxa" w:w="3331"/>
            <w:tcMar>
              <w:top w:w="90" w:type="dxa"/>
              <w:start w:w="110" w:type="dxa"/>
              <w:bottom w:w="90" w:type="dxa"/>
              <w:end w:w="110" w:type="dxa"/>
            </w:tcMar>
          </w:tcPr>
          <w:p>
            <w:r>
              <w:rPr>
                <w:rFonts w:ascii="Aptos" w:hAnsi="Aptos"/>
                <w:sz w:val="16"/>
              </w:rPr>
              <w:t>☐ Confirmed</w:t>
            </w:r>
          </w:p>
        </w:tc>
      </w:tr>
    </w:tbl>
    <w:p>
      <w:pPr>
        <w:pStyle w:val="Heading1"/>
      </w:pPr>
      <w:r>
        <w:t>16. Final Developer Acceptance Checklist</w:t>
      </w:r>
    </w:p>
    <w:p>
      <w:r>
        <w:rPr>
          <w:b/>
        </w:rPr>
        <w:t xml:space="preserve">☐ </w:t>
      </w:r>
      <w:r>
        <w:t>All old wording has been replaced; no outdated labels remain in hidden, mobile, modal, or error states.</w:t>
      </w:r>
    </w:p>
    <w:p>
      <w:r>
        <w:rPr>
          <w:b/>
        </w:rPr>
        <w:t xml:space="preserve">☐ </w:t>
      </w:r>
      <w:r>
        <w:t>Every CTA uses the approved canonical label.</w:t>
      </w:r>
    </w:p>
    <w:p>
      <w:r>
        <w:rPr>
          <w:b/>
        </w:rPr>
        <w:t xml:space="preserve">☐ </w:t>
      </w:r>
      <w:r>
        <w:t>Every tooltip works on desktop, mobile, keyboard, and assistive technology.</w:t>
      </w:r>
    </w:p>
    <w:p>
      <w:r>
        <w:rPr>
          <w:b/>
        </w:rPr>
        <w:t xml:space="preserve">☐ </w:t>
      </w:r>
      <w:r>
        <w:t>The provider identity rule is enforced in both the interface and data returned to the browser.</w:t>
      </w:r>
    </w:p>
    <w:p>
      <w:r>
        <w:rPr>
          <w:b/>
        </w:rPr>
        <w:t xml:space="preserve">☐ </w:t>
      </w:r>
      <w:r>
        <w:t>Information-sharing confirmation appears before the booking is completed.</w:t>
      </w:r>
    </w:p>
    <w:p>
      <w:r>
        <w:rPr>
          <w:b/>
        </w:rPr>
        <w:t xml:space="preserve">☐ </w:t>
      </w:r>
      <w:r>
        <w:t>Provider matching cannot be influenced by payment, advertising, or company size.</w:t>
      </w:r>
    </w:p>
    <w:p>
      <w:r>
        <w:rPr>
          <w:b/>
        </w:rPr>
        <w:t xml:space="preserve">☐ </w:t>
      </w:r>
      <w:r>
        <w:t>Regulatory content displays its official source and relevant review/update information.</w:t>
      </w:r>
    </w:p>
    <w:p>
      <w:r>
        <w:rPr>
          <w:b/>
        </w:rPr>
        <w:t xml:space="preserve">☐ </w:t>
      </w:r>
      <w:r>
        <w:t>Feature availability labels match production behavior.</w:t>
      </w:r>
    </w:p>
    <w:p>
      <w:r>
        <w:rPr>
          <w:b/>
        </w:rPr>
        <w:t xml:space="preserve">☐ </w:t>
      </w:r>
      <w:r>
        <w:t>All privacy, cookie, newsletter, account-deletion, and notification controls have been tested.</w:t>
      </w:r>
    </w:p>
    <w:p>
      <w:r>
        <w:rPr>
          <w:b/>
        </w:rPr>
        <w:t xml:space="preserve">☐ </w:t>
      </w:r>
      <w:r>
        <w:t>All English pages have been reviewed for grammar, mobile wrapping, and leftover German text.</w:t>
      </w:r>
    </w:p>
    <w:p>
      <w:r>
        <w:rPr>
          <w:b/>
        </w:rPr>
        <w:t xml:space="preserve">☐ </w:t>
      </w:r>
      <w:r>
        <w:t>Legal documents and footer links are final and live.</w:t>
      </w:r>
    </w:p>
    <w:p>
      <w:r>
        <w:rPr>
          <w:b/>
        </w:rPr>
        <w:t xml:space="preserve">☐ </w:t>
      </w:r>
      <w:r>
        <w:t>Analytics events distinguish assessment, account creation, provider selection, consultation booking, and engagement approval.</w:t>
      </w:r>
    </w:p>
    <w:p>
      <w:pPr>
        <w:pStyle w:val="Heading1"/>
      </w:pPr>
      <w:r>
        <w:t>17. Final Content Principle</w:t>
      </w:r>
    </w:p>
    <w:tbl>
      <w:tblPr>
        <w:tblW w:type="auto" w:w="0"/>
        <w:jc w:val="center"/>
        <w:tblLayout w:type="fixed"/>
        <w:tblLook w:firstColumn="1" w:firstRow="1" w:lastColumn="0" w:lastRow="0" w:noHBand="0" w:noVBand="1" w:val="04A0"/>
      </w:tblPr>
      <w:tblGrid>
        <w:gridCol w:w="9792"/>
      </w:tblGrid>
      <w:tr>
        <w:trPr>
          <w:cantSplit/>
        </w:trPr>
        <w:tc>
          <w:tcPr>
            <w:tcW w:type="dxa" w:w="9994"/>
            <w:shd w:fill="E9F6EE"/>
            <w:tcMar>
              <w:top w:w="90" w:type="dxa"/>
              <w:start w:w="110" w:type="dxa"/>
              <w:bottom w:w="90" w:type="dxa"/>
              <w:end w:w="110" w:type="dxa"/>
            </w:tcMar>
            <w:vAlign w:val="center"/>
          </w:tcPr>
          <w:p>
            <w:pPr>
              <w:pStyle w:val="ApprovedBox"/>
            </w:pPr>
            <w:r>
              <w:rPr>
                <w:rFonts w:ascii="Aptos" w:hAnsi="Aptos"/>
                <w:b/>
                <w:color w:val="14A6A1"/>
                <w:sz w:val="16"/>
              </w:rPr>
              <w:t>ALWAYS ON YOUR SIDE</w:t>
            </w:r>
          </w:p>
          <w:p>
            <w:pPr>
              <w:pStyle w:val="ApprovedBox"/>
              <w:spacing w:after="40"/>
            </w:pPr>
            <w:r>
              <w:rPr>
                <w:rFonts w:ascii="Aptos" w:hAnsi="Aptos"/>
                <w:sz w:val="16"/>
              </w:rPr>
              <w:t>CompliHub360 helps users understand what may apply to their business, decide what to do next, and find verified independent providers based on genuine fit.</w:t>
            </w:r>
          </w:p>
          <w:p>
            <w:pPr>
              <w:pStyle w:val="ApprovedBox"/>
              <w:spacing w:after="40"/>
            </w:pPr>
            <w:r>
              <w:rPr>
                <w:rFonts w:ascii="Aptos" w:hAnsi="Aptos"/>
                <w:sz w:val="16"/>
              </w:rPr>
            </w:r>
          </w:p>
          <w:p>
            <w:pPr>
              <w:pStyle w:val="ApprovedBox"/>
              <w:spacing w:after="40"/>
            </w:pPr>
            <w:r>
              <w:rPr>
                <w:rFonts w:ascii="Aptos" w:hAnsi="Aptos"/>
                <w:sz w:val="16"/>
              </w:rPr>
              <w:t>The experience should always remain clear, fair, privacy-conscious, and human.</w:t>
            </w:r>
          </w:p>
        </w:tc>
      </w:tr>
    </w:tbl>
    <w:p>
      <w:pPr>
        <w:spacing w:after="0"/>
      </w:pPr>
    </w:p>
    <w:sectPr w:rsidR="00FC693F" w:rsidRPr="0006063C" w:rsidSect="00034616">
      <w:footerReference w:type="default" r:id="rId9"/>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A5A63"/>
        <w:sz w:val="16"/>
      </w:rPr>
      <w:t xml:space="preserve">CompliHub360 | Website Implementation Handover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230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23047"/>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4A6A1"/>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1230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2304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rrentBox">
    <w:name w:val="Current Box"/>
    <w:pPr>
      <w:spacing w:after="60" w:line="252" w:lineRule="auto"/>
    </w:pPr>
    <w:rPr>
      <w:rFonts w:ascii="Aptos" w:hAnsi="Aptos"/>
      <w:color w:val="4A5A63"/>
      <w:sz w:val="17"/>
    </w:rPr>
  </w:style>
  <w:style w:type="paragraph" w:customStyle="1" w:styleId="ApprovedBox">
    <w:name w:val="Approved Box"/>
    <w:pPr>
      <w:spacing w:after="60" w:line="252" w:lineRule="auto"/>
    </w:pPr>
    <w:rPr>
      <w:rFonts w:ascii="Aptos" w:hAnsi="Aptos"/>
      <w:color w:val="123047"/>
      <w:sz w:val="17"/>
    </w:rPr>
  </w:style>
  <w:style w:type="paragraph" w:customStyle="1" w:styleId="DevNote">
    <w:name w:val="Dev Note"/>
    <w:pPr>
      <w:spacing w:after="60" w:line="252" w:lineRule="auto"/>
    </w:pPr>
    <w:rPr>
      <w:rFonts w:ascii="Aptos" w:hAnsi="Aptos"/>
      <w:color w:val="12304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CompliHub360 Website Copy &amp; Implementation Handover</dc:title>
  <dc:subject>Approved English homepage content and developer implementation requirements</dc:subject>
  <dc:creator>CompliHub360</dc:creator>
  <cp:keywords>CompliHub360, website, copy, implementation, compliance, provider matching</cp:keywords>
  <dc:description>generated by python-docx</dc:description>
  <cp:lastModifiedBy/>
  <cp:revision>1</cp:revision>
  <dcterms:created xsi:type="dcterms:W3CDTF">2013-12-23T23:15:00Z</dcterms:created>
  <dcterms:modified xsi:type="dcterms:W3CDTF">2013-12-23T23:15:00Z</dcterms:modified>
  <cp:category/>
</cp:coreProperties>
</file>