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VARCHAR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A100A3">
            <w:r>
              <w:t>C</w:t>
            </w:r>
            <w:r w:rsidRPr="00946CFD">
              <w:t>adena de caracteres variables de 0 a 255.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TINYINT()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V</w:t>
            </w:r>
            <w:r w:rsidRPr="00946CFD">
              <w:t>alor entero pequeño de 0 a 255 o de -128 a 127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BIT</w:t>
            </w:r>
            <w:r w:rsidRPr="00946CFD">
              <w:rPr>
                <w:b/>
                <w:bCs/>
              </w:rPr>
              <w:br/>
              <w:t>BOOL</w:t>
            </w:r>
            <w:r w:rsidRPr="00946CFD">
              <w:rPr>
                <w:b/>
                <w:bCs/>
              </w:rPr>
              <w:br/>
              <w:t>BOOLEAN:</w:t>
            </w:r>
          </w:p>
        </w:tc>
        <w:tc>
          <w:tcPr>
            <w:tcW w:w="5805" w:type="dxa"/>
          </w:tcPr>
          <w:p w:rsidR="00946CFD" w:rsidRPr="00946CFD" w:rsidRDefault="00946CFD" w:rsidP="00A100A3">
            <w:r w:rsidRPr="00946CFD">
              <w:t> </w:t>
            </w:r>
            <w:r w:rsidRPr="00946CFD">
              <w:t xml:space="preserve">Todos estos tipos son sinónimos de </w:t>
            </w:r>
            <w:proofErr w:type="gramStart"/>
            <w:r w:rsidRPr="00946CFD">
              <w:t>TINYINT(</w:t>
            </w:r>
            <w:proofErr w:type="gramEnd"/>
            <w:r w:rsidRPr="00946CFD">
              <w:t>1).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SMALLINT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E</w:t>
            </w:r>
            <w:r w:rsidRPr="00946CFD">
              <w:t xml:space="preserve">ntero </w:t>
            </w:r>
            <w:proofErr w:type="gramStart"/>
            <w:r w:rsidRPr="00946CFD">
              <w:t>corto</w:t>
            </w:r>
            <w:proofErr w:type="gramEnd"/>
            <w:r>
              <w:t xml:space="preserve"> </w:t>
            </w:r>
            <w:r w:rsidRPr="00946CFD">
              <w:t>entre -32768 y 32767 o, en caso de no tener un signo de 0 a 65535.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MEDIUMINT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E</w:t>
            </w:r>
            <w:r w:rsidRPr="00946CFD">
              <w:t>ntero de tamaño medio entre -83888608 y 8388607 y entre 0 y 16777215 sin signo.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INT/INTEGER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E</w:t>
            </w:r>
            <w:r w:rsidRPr="00946CFD">
              <w:t>ntero de tamaño normal entre -2147483648 y 2147483647 o entre 0 y 4294967295.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BIGINT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E</w:t>
            </w:r>
            <w:r w:rsidRPr="00946CFD">
              <w:t>ntero grande entre -9223372036854775808 a 922337203685477807 con signo o de 0 a 18446744073709551615 sin signo.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FLOAT/FLOAT():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N</w:t>
            </w:r>
            <w:r w:rsidRPr="00946CFD">
              <w:t xml:space="preserve">úmero de coma flotante. Opcionalmente </w:t>
            </w:r>
            <w:r>
              <w:t xml:space="preserve">puede acompañarse (al tipo </w:t>
            </w:r>
            <w:proofErr w:type="spellStart"/>
            <w:r>
              <w:t>float</w:t>
            </w:r>
            <w:proofErr w:type="spellEnd"/>
            <w:r w:rsidRPr="00946CFD">
              <w:t xml:space="preserve"> sin paréntesis) de la palabra precisión que le indica la precisión decimal que se desea, que puede llegar hasta 24 para precisión sencilla y de 25 a 53 para</w:t>
            </w:r>
            <w:r>
              <w:t xml:space="preserve"> una precisión doble. Para </w:t>
            </w:r>
            <w:proofErr w:type="spellStart"/>
            <w:proofErr w:type="gramStart"/>
            <w:r>
              <w:t>float</w:t>
            </w:r>
            <w:proofErr w:type="spellEnd"/>
            <w:r w:rsidRPr="00946CFD">
              <w:t>(</w:t>
            </w:r>
            <w:proofErr w:type="gramEnd"/>
            <w:r w:rsidRPr="00946CFD">
              <w:t xml:space="preserve">), los valores permitidos van desde -3402823466E+38 y -1.175494351E-38, 0, y entre 1.175494351E+38 y 3.402823466E+38. En caso de </w:t>
            </w:r>
            <w:r w:rsidRPr="00946CFD">
              <w:t>especificarse</w:t>
            </w:r>
            <w:r w:rsidRPr="00946CFD">
              <w:t xml:space="preserve"> el modificador UNSIGNED los valores negativos no son permitidos.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DOUBLE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N</w:t>
            </w:r>
            <w:r w:rsidRPr="00946CFD">
              <w:t>úmero de coma flotante de precisión normal. Sus valores van desde -1.7976931348623157E+308 y -2.2250738585072014E-308, 0, y entre 2.2250738585072014E-308 y 1.7976931348623157E+308. Una vez más, si se define UNSIGNED, los valores negativos no son permitidos.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DOUBLE PRECISIÓN</w:t>
            </w:r>
            <w:r w:rsidRPr="00946CFD">
              <w:rPr>
                <w:b/>
                <w:bCs/>
              </w:rPr>
              <w:br/>
              <w:t>REAL</w:t>
            </w:r>
            <w:r w:rsidRPr="00946CFD">
              <w:t xml:space="preserve"> :</w:t>
            </w:r>
          </w:p>
        </w:tc>
        <w:tc>
          <w:tcPr>
            <w:tcW w:w="5805" w:type="dxa"/>
          </w:tcPr>
          <w:p w:rsidR="00946CFD" w:rsidRPr="00946CFD" w:rsidRDefault="00946CFD" w:rsidP="00A100A3">
            <w:r w:rsidRPr="00946CFD">
              <w:t> </w:t>
            </w:r>
            <w:r w:rsidRPr="00946CFD">
              <w:t xml:space="preserve">Son sinónimos de </w:t>
            </w:r>
            <w:r w:rsidRPr="00946CFD">
              <w:rPr>
                <w:b/>
                <w:bCs/>
              </w:rPr>
              <w:t>DOUBLE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DECIMAL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N</w:t>
            </w:r>
            <w:r w:rsidRPr="00946CFD">
              <w:t xml:space="preserve">úmero de coma flotante sin empaquetar. </w:t>
            </w:r>
            <w:r>
              <w:t>S</w:t>
            </w:r>
            <w:r w:rsidRPr="00946CFD">
              <w:t xml:space="preserve">in empaquetar </w:t>
            </w:r>
            <w:r>
              <w:t>quiere decir</w:t>
            </w:r>
            <w:r w:rsidRPr="00946CFD">
              <w:t xml:space="preserve"> que se guarda como una cadena (véase CHAR), usando un carácter para dígito del valor.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DEC</w:t>
            </w:r>
            <w:r w:rsidRPr="00946CFD">
              <w:rPr>
                <w:b/>
                <w:bCs/>
              </w:rPr>
              <w:br/>
              <w:t>NUMERIC</w:t>
            </w:r>
            <w:r w:rsidRPr="00946CFD">
              <w:rPr>
                <w:b/>
                <w:bCs/>
              </w:rPr>
              <w:br/>
              <w:t>FIXED</w:t>
            </w:r>
            <w:r w:rsidRPr="00946CFD">
              <w:t xml:space="preserve"> :</w:t>
            </w:r>
          </w:p>
        </w:tc>
        <w:tc>
          <w:tcPr>
            <w:tcW w:w="5805" w:type="dxa"/>
          </w:tcPr>
          <w:p w:rsidR="00946CFD" w:rsidRPr="00946CFD" w:rsidRDefault="00946CFD" w:rsidP="00A100A3">
            <w:r>
              <w:t>S</w:t>
            </w:r>
            <w:r w:rsidRPr="00946CFD">
              <w:t>inónimos de DECIMAL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DATE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V</w:t>
            </w:r>
            <w:r w:rsidRPr="00946CFD">
              <w:t>alor de fecha, los rangos permitidos son de</w:t>
            </w:r>
            <w:r>
              <w:t xml:space="preserve">sde ‘1000-01-01’ y ‘9999-12-31’. </w:t>
            </w:r>
            <w:r w:rsidRPr="00946CFD">
              <w:t xml:space="preserve">El </w:t>
            </w:r>
            <w:r>
              <w:t xml:space="preserve">formato de fecha presentado es </w:t>
            </w:r>
            <w:r w:rsidRPr="00946CFD">
              <w:t>‘AAAA-MM-DD’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DATETIME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A100A3">
            <w:r>
              <w:t>M</w:t>
            </w:r>
            <w:r w:rsidRPr="00946CFD">
              <w:t xml:space="preserve">ezcla de fecha y hora. El rango que </w:t>
            </w:r>
            <w:proofErr w:type="spellStart"/>
            <w:r w:rsidRPr="00946CFD">
              <w:t>MySQL</w:t>
            </w:r>
            <w:proofErr w:type="spellEnd"/>
            <w:r w:rsidRPr="00946CFD">
              <w:t xml:space="preserve"> soporta es desde ‘1000-01-01 00:00:00’ hasta ‘9999-12-31 23:59:59’. El formato es del tipo ‘AAAA-MM-DD HH:MM:SS’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TIMESTAMP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V</w:t>
            </w:r>
            <w:r w:rsidRPr="00946CFD">
              <w:t xml:space="preserve">alor de tiempo que puede </w:t>
            </w:r>
            <w:r>
              <w:t>comprender</w:t>
            </w:r>
            <w:r w:rsidRPr="00946CFD">
              <w:t xml:space="preserve"> desde -1970-01-01 00:00:00’ hasta </w:t>
            </w:r>
            <w:r>
              <w:t>el año 2037.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TIME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A100A3">
            <w:r>
              <w:t>H</w:t>
            </w:r>
            <w:r w:rsidRPr="00946CFD">
              <w:t>ora que permite los valores ‘-838:59:59’ a ‘838:59:59’. Los valores se muestran en formato HH:MM:SS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YEAR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A</w:t>
            </w:r>
            <w:r w:rsidRPr="00946CFD">
              <w:t>ño en formato de 2 o 4 dígitos, siendo el valor por defecto 4. Los valores permitidos son desde 1901 a 2155 y 0000 en el formato de 4 dígitos y desde 1970 a 2069 en el formato de 2 dígitos (70-69).</w:t>
            </w:r>
          </w:p>
        </w:tc>
      </w:tr>
      <w:tr w:rsidR="00946CFD" w:rsidRPr="00946CFD" w:rsidTr="00B555D8">
        <w:tc>
          <w:tcPr>
            <w:tcW w:w="8494" w:type="dxa"/>
            <w:gridSpan w:val="2"/>
            <w:vAlign w:val="center"/>
          </w:tcPr>
          <w:p w:rsidR="00946CFD" w:rsidRPr="00946CFD" w:rsidRDefault="00946CFD" w:rsidP="00946CFD">
            <w:pPr>
              <w:jc w:val="center"/>
              <w:rPr>
                <w:b/>
                <w:u w:val="single"/>
              </w:rPr>
            </w:pPr>
            <w:r w:rsidRPr="00946CFD">
              <w:rPr>
                <w:b/>
                <w:u w:val="single"/>
              </w:rPr>
              <w:lastRenderedPageBreak/>
              <w:t>Los siguientes tipos son para datos sin tipo o grandes cantidades de datos.</w:t>
            </w:r>
          </w:p>
          <w:p w:rsidR="00946CFD" w:rsidRPr="00946CFD" w:rsidRDefault="00946CFD" w:rsidP="00A100A3">
            <w:pPr>
              <w:rPr>
                <w:b/>
                <w:u w:val="single"/>
              </w:rPr>
            </w:pPr>
            <w:r w:rsidRPr="00946CFD">
              <w:rPr>
                <w:b/>
                <w:u w:val="single"/>
              </w:rPr>
              <w:t> 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TINYBLOB</w:t>
            </w:r>
            <w:r w:rsidRPr="00946CFD">
              <w:rPr>
                <w:b/>
                <w:bCs/>
              </w:rPr>
              <w:br/>
              <w:t>TINYTEXT:</w:t>
            </w:r>
          </w:p>
        </w:tc>
        <w:tc>
          <w:tcPr>
            <w:tcW w:w="5805" w:type="dxa"/>
          </w:tcPr>
          <w:p w:rsidR="00946CFD" w:rsidRPr="00946CFD" w:rsidRDefault="00946CFD" w:rsidP="00A100A3">
            <w:r>
              <w:t>C</w:t>
            </w:r>
            <w:r w:rsidRPr="00946CFD">
              <w:t>olumna BLOB o TEXT con una longitud de hasta 255 caracteres (28-1)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>
              <w:rPr>
                <w:b/>
                <w:bCs/>
              </w:rPr>
              <w:t>BLOB</w:t>
            </w:r>
            <w:r w:rsidRPr="00946CFD">
              <w:rPr>
                <w:b/>
                <w:bCs/>
              </w:rPr>
              <w:br/>
              <w:t>TEXT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C</w:t>
            </w:r>
            <w:r w:rsidRPr="00946CFD">
              <w:t>olumna BLOB o TEXT con una longitud de hasta 65535 caracteres (216-1)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MEDIUMBLOB</w:t>
            </w:r>
            <w:r w:rsidRPr="00946CFD">
              <w:rPr>
                <w:b/>
                <w:bCs/>
              </w:rPr>
              <w:br/>
              <w:t>MEDIUMTEXT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C</w:t>
            </w:r>
            <w:r w:rsidRPr="00946CFD">
              <w:t>olumna BLOB o TEXT con una longitud de hasta 16777215 caracteres (224-1)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LONGBLOB</w:t>
            </w:r>
            <w:r w:rsidRPr="00946CFD">
              <w:rPr>
                <w:b/>
                <w:bCs/>
              </w:rPr>
              <w:br/>
              <w:t>LONGTEXT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C</w:t>
            </w:r>
            <w:r w:rsidRPr="00946CFD">
              <w:t>olumna BLOB o TEXT con una longitud de hasta 4294967298 caracteres (232-1)</w:t>
            </w:r>
          </w:p>
        </w:tc>
      </w:tr>
      <w:tr w:rsidR="00946CFD" w:rsidRPr="00946CFD" w:rsidTr="00064664">
        <w:tc>
          <w:tcPr>
            <w:tcW w:w="8494" w:type="dxa"/>
            <w:gridSpan w:val="2"/>
            <w:vAlign w:val="center"/>
          </w:tcPr>
          <w:p w:rsidR="00946CFD" w:rsidRPr="00BA249A" w:rsidRDefault="00946CFD" w:rsidP="00946CFD">
            <w:pPr>
              <w:jc w:val="center"/>
              <w:rPr>
                <w:b/>
                <w:u w:val="single"/>
              </w:rPr>
            </w:pPr>
            <w:r w:rsidRPr="00BA249A">
              <w:rPr>
                <w:b/>
                <w:u w:val="single"/>
              </w:rPr>
              <w:t>Los siguientes son los tipos enumerados y los conjuntos:</w:t>
            </w:r>
          </w:p>
          <w:p w:rsidR="00946CFD" w:rsidRPr="00946CFD" w:rsidRDefault="00946CFD" w:rsidP="00A100A3">
            <w:r w:rsidRPr="00946CFD">
              <w:t> 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ENUM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BA249A" w:rsidP="00BA249A">
            <w:r>
              <w:t xml:space="preserve">Valor </w:t>
            </w:r>
            <w:r w:rsidR="00946CFD" w:rsidRPr="00946CFD">
              <w:t>enumerado, el cual es un objeto</w:t>
            </w:r>
            <w:r>
              <w:t xml:space="preserve"> cadena que puede ser</w:t>
            </w:r>
            <w:r w:rsidR="00946CFD" w:rsidRPr="00946CFD">
              <w:t xml:space="preserve"> un valor de </w:t>
            </w:r>
            <w:r>
              <w:t>una lista, un valor NULL o un</w:t>
            </w:r>
            <w:r w:rsidR="00946CFD" w:rsidRPr="00946CFD">
              <w:t xml:space="preserve"> valor de error “”. Este valor puede tener un máximo de 65535 valores diferentes.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SET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BA249A" w:rsidP="00A100A3">
            <w:r>
              <w:t>C</w:t>
            </w:r>
            <w:bookmarkStart w:id="0" w:name="_GoBack"/>
            <w:bookmarkEnd w:id="0"/>
            <w:r w:rsidR="00946CFD" w:rsidRPr="00946CFD">
              <w:t xml:space="preserve">onjunto. Es una cadena que puede tener 0 </w:t>
            </w:r>
            <w:proofErr w:type="spellStart"/>
            <w:r w:rsidR="00946CFD" w:rsidRPr="00946CFD">
              <w:t>ó</w:t>
            </w:r>
            <w:proofErr w:type="spellEnd"/>
            <w:r w:rsidR="00946CFD" w:rsidRPr="00946CFD">
              <w:t xml:space="preserve"> más valores. Todos esos valores debe estar entre una lista de valores. El máximo de miembros de un conjunto puede ser 64.</w:t>
            </w:r>
          </w:p>
        </w:tc>
      </w:tr>
    </w:tbl>
    <w:p w:rsidR="003B7BBE" w:rsidRDefault="003B7BBE" w:rsidP="00946CFD"/>
    <w:sectPr w:rsidR="003B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FD"/>
    <w:rsid w:val="003B7BBE"/>
    <w:rsid w:val="00946CFD"/>
    <w:rsid w:val="00BA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F8FAB-4A99-4167-B63C-2E8C9BFA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....</dc:creator>
  <cp:keywords/>
  <dc:description/>
  <cp:lastModifiedBy>Juan ....</cp:lastModifiedBy>
  <cp:revision>1</cp:revision>
  <dcterms:created xsi:type="dcterms:W3CDTF">2015-07-07T10:24:00Z</dcterms:created>
  <dcterms:modified xsi:type="dcterms:W3CDTF">2015-07-07T10:36:00Z</dcterms:modified>
</cp:coreProperties>
</file>