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Для полей</w:t>
      </w:r>
      <w:r>
        <w:rPr>
          <w:rFonts w:hint="default"/>
          <w:lang w:val="en-US"/>
        </w:rPr>
        <w:t xml:space="preserve"> “</w:t>
      </w:r>
      <w:r>
        <w:rPr>
          <w:rFonts w:hint="default"/>
          <w:lang w:val="ru-RU"/>
        </w:rPr>
        <w:t>client_id</w:t>
      </w:r>
      <w:r>
        <w:rPr>
          <w:rFonts w:hint="default"/>
          <w:lang w:val="en-US"/>
        </w:rPr>
        <w:t xml:space="preserve">”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city_id</w:t>
      </w:r>
      <w:r>
        <w:rPr>
          <w:rFonts w:hint="default"/>
          <w:lang w:val="en-US"/>
        </w:rPr>
        <w:t xml:space="preserve">” </w:t>
      </w:r>
      <w:r>
        <w:rPr>
          <w:rFonts w:hint="default"/>
          <w:lang w:val="ru-RU"/>
        </w:rPr>
        <w:t>не требуется плавающая точка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поэтому стоит использовать </w:t>
      </w:r>
      <w:r>
        <w:rPr>
          <w:rFonts w:hint="default"/>
          <w:lang w:val="en-US"/>
        </w:rPr>
        <w:t xml:space="preserve">“integer” </w:t>
      </w:r>
      <w:r>
        <w:rPr>
          <w:rFonts w:hint="default"/>
          <w:lang w:val="ru-RU"/>
        </w:rPr>
        <w:t xml:space="preserve">или </w:t>
      </w:r>
      <w:r>
        <w:rPr>
          <w:rFonts w:hint="default"/>
          <w:lang w:val="en-US"/>
        </w:rPr>
        <w:t xml:space="preserve">“bigint”, </w:t>
      </w:r>
      <w:r>
        <w:rPr>
          <w:rFonts w:hint="default"/>
          <w:lang w:val="ru-RU"/>
        </w:rPr>
        <w:t xml:space="preserve">чтобы избежать переполнения.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Так как </w:t>
      </w:r>
      <w:r>
        <w:rPr>
          <w:rFonts w:hint="default"/>
          <w:lang w:val="en-US"/>
        </w:rPr>
        <w:t xml:space="preserve">“city_id” </w:t>
      </w:r>
      <w:r>
        <w:rPr>
          <w:rFonts w:hint="default"/>
          <w:lang w:val="ru-RU"/>
        </w:rPr>
        <w:t>скорее всего является внешним ключом, то для изменения типа следует поменять также изменить тип в родительской таблице.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Так как поле </w:t>
      </w:r>
      <w:r>
        <w:rPr>
          <w:rFonts w:hint="default"/>
          <w:lang w:val="en-US"/>
        </w:rPr>
        <w:t xml:space="preserve">“login” </w:t>
      </w:r>
      <w:r>
        <w:rPr>
          <w:rFonts w:hint="default"/>
          <w:lang w:val="ru-RU"/>
        </w:rPr>
        <w:t>должно быть уникальным, то для этого поля должно быть ограничение уникальности.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Для поля </w:t>
      </w:r>
      <w:r>
        <w:rPr>
          <w:rFonts w:hint="default"/>
          <w:lang w:val="en-US"/>
        </w:rPr>
        <w:t xml:space="preserve">age </w:t>
      </w:r>
      <w:r>
        <w:rPr>
          <w:rFonts w:hint="default"/>
          <w:lang w:val="ru-RU"/>
        </w:rPr>
        <w:t>и</w:t>
      </w:r>
      <w:r>
        <w:rPr>
          <w:rFonts w:hint="default"/>
        </w:rPr>
        <w:t xml:space="preserve">спользование типа </w:t>
      </w:r>
      <w:r>
        <w:rPr>
          <w:rFonts w:hint="default"/>
          <w:lang w:val="en-US"/>
        </w:rPr>
        <w:t>“</w:t>
      </w:r>
      <w:r>
        <w:rPr>
          <w:rFonts w:hint="default"/>
        </w:rPr>
        <w:t>number</w:t>
      </w:r>
      <w:r>
        <w:rPr>
          <w:rFonts w:hint="default"/>
          <w:lang w:val="en-US"/>
        </w:rPr>
        <w:t>”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является избыточным</w:t>
      </w:r>
      <w:r>
        <w:rPr>
          <w:rFonts w:hint="default"/>
        </w:rPr>
        <w:t xml:space="preserve">. Лучше использовать </w:t>
      </w:r>
      <w:r>
        <w:rPr>
          <w:rFonts w:hint="default"/>
          <w:lang w:val="en-US"/>
        </w:rPr>
        <w:t>“</w:t>
      </w:r>
      <w:r>
        <w:rPr>
          <w:rFonts w:hint="default"/>
        </w:rPr>
        <w:t>smallint</w:t>
      </w:r>
      <w:r>
        <w:rPr>
          <w:rFonts w:hint="default"/>
          <w:lang w:val="en-US"/>
        </w:rPr>
        <w:t>”</w:t>
      </w:r>
      <w:r>
        <w:rPr>
          <w:rFonts w:hint="default"/>
        </w:rPr>
        <w:t xml:space="preserve">, так как </w:t>
      </w:r>
      <w:r>
        <w:rPr>
          <w:rFonts w:hint="default"/>
          <w:lang w:val="ru-RU"/>
        </w:rPr>
        <w:t xml:space="preserve">для </w:t>
      </w:r>
      <w:r>
        <w:rPr>
          <w:rFonts w:hint="default"/>
        </w:rPr>
        <w:t>возраст</w:t>
      </w:r>
      <w:r>
        <w:rPr>
          <w:rFonts w:hint="default"/>
          <w:lang w:val="ru-RU"/>
        </w:rPr>
        <w:t>а</w:t>
      </w:r>
      <w:r>
        <w:rPr>
          <w:rFonts w:hint="default"/>
        </w:rPr>
        <w:t xml:space="preserve"> не требует</w:t>
      </w:r>
      <w:r>
        <w:rPr>
          <w:rFonts w:hint="default"/>
          <w:lang w:val="ru-RU"/>
        </w:rPr>
        <w:t>ся</w:t>
      </w:r>
      <w:r>
        <w:rPr>
          <w:rFonts w:hint="default"/>
        </w:rPr>
        <w:t xml:space="preserve"> большого диапазона.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2.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хранить историческую информацию о ценах на продукты, можно создать еще одну таблицу для отслеживания изменений цен, например </w:t>
      </w:r>
      <w:r>
        <w:rPr>
          <w:rFonts w:hint="default"/>
          <w:lang w:val="en-US"/>
        </w:rPr>
        <w:t>“item_price_history”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Она должна содержать следующие поля: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item_price_history (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</w:t>
      </w:r>
      <w:r>
        <w:rPr>
          <w:rFonts w:hint="default"/>
          <w:lang w:val="en-US"/>
        </w:rPr>
        <w:t>p</w:t>
      </w:r>
      <w:r>
        <w:rPr>
          <w:rFonts w:hint="default"/>
          <w:lang w:val="ru-RU"/>
        </w:rPr>
        <w:t xml:space="preserve">rice_history_id </w:t>
      </w:r>
      <w:r>
        <w:rPr>
          <w:rFonts w:hint="default"/>
          <w:lang w:val="en-US"/>
        </w:rPr>
        <w:t>number</w:t>
      </w:r>
      <w:r>
        <w:rPr>
          <w:rFonts w:hint="default"/>
          <w:lang w:val="ru-RU"/>
        </w:rPr>
        <w:t>, -- id записи истории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item_id </w:t>
      </w:r>
      <w:r>
        <w:rPr>
          <w:rFonts w:hint="default"/>
          <w:lang w:val="en-US"/>
        </w:rPr>
        <w:t>number</w:t>
      </w:r>
      <w:r>
        <w:rPr>
          <w:rFonts w:hint="default"/>
          <w:lang w:val="ru-RU"/>
        </w:rPr>
        <w:t>, -- id товара, для которого хранятся изменения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price </w:t>
      </w:r>
      <w:r>
        <w:rPr>
          <w:rFonts w:hint="default"/>
          <w:lang w:val="en-US"/>
        </w:rPr>
        <w:t>number</w:t>
      </w:r>
      <w:r>
        <w:rPr>
          <w:rFonts w:hint="default"/>
          <w:lang w:val="ru-RU"/>
        </w:rPr>
        <w:t>, -- стоимость товара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</w:t>
      </w:r>
      <w:r>
        <w:rPr>
          <w:rFonts w:hint="default"/>
          <w:lang w:val="en-US"/>
        </w:rPr>
        <w:t>change_</w:t>
      </w:r>
      <w:r>
        <w:rPr>
          <w:rFonts w:hint="default"/>
          <w:lang w:val="ru-RU"/>
        </w:rPr>
        <w:t xml:space="preserve">date </w:t>
      </w:r>
      <w:r>
        <w:rPr>
          <w:rFonts w:hint="default"/>
          <w:lang w:val="en-US"/>
        </w:rPr>
        <w:t>date</w:t>
      </w:r>
      <w:r>
        <w:rPr>
          <w:rFonts w:hint="default"/>
          <w:lang w:val="ru-RU"/>
        </w:rPr>
        <w:t>, -- дата изменения цены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);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таблицы </w:t>
      </w:r>
      <w:r>
        <w:rPr>
          <w:rFonts w:hint="default"/>
          <w:lang w:val="en-US"/>
        </w:rPr>
        <w:t xml:space="preserve">“items” </w:t>
      </w:r>
      <w:r>
        <w:rPr>
          <w:rFonts w:hint="default"/>
          <w:lang w:val="ru-RU"/>
        </w:rPr>
        <w:t xml:space="preserve">можно поменять название поля </w:t>
      </w:r>
      <w:r>
        <w:rPr>
          <w:rFonts w:hint="default"/>
          <w:lang w:val="en-US"/>
        </w:rPr>
        <w:t xml:space="preserve">“item_cost” </w:t>
      </w: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 xml:space="preserve">“item_current_cost” </w:t>
      </w:r>
      <w:r>
        <w:rPr>
          <w:rFonts w:hint="default"/>
          <w:lang w:val="ru-RU"/>
        </w:rPr>
        <w:t>для лучшего понимания, что в нем хранится именно текущая цена.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3.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Для проверки на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NULL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необходимо использовать</w:t>
      </w:r>
      <w:r>
        <w:rPr>
          <w:rFonts w:hint="default"/>
          <w:lang w:val="en-US"/>
        </w:rPr>
        <w:t xml:space="preserve"> “</w:t>
      </w:r>
      <w:r>
        <w:rPr>
          <w:rFonts w:hint="default"/>
          <w:lang w:val="ru-RU"/>
        </w:rPr>
        <w:t>IS NULL</w:t>
      </w:r>
      <w:r>
        <w:rPr>
          <w:rFonts w:hint="default"/>
          <w:lang w:val="en-US"/>
        </w:rPr>
        <w:t>”.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Использование агрегатной функции “SUM(SALARY)” в “WHERE” некорректно. </w:t>
      </w:r>
      <w:r>
        <w:rPr>
          <w:rFonts w:hint="default"/>
          <w:lang w:val="ru-RU"/>
        </w:rPr>
        <w:t>Оно</w:t>
      </w:r>
      <w:r>
        <w:rPr>
          <w:rFonts w:hint="default"/>
          <w:lang w:val="en-US"/>
        </w:rPr>
        <w:t xml:space="preserve"> должн</w:t>
      </w:r>
      <w:r>
        <w:rPr>
          <w:rFonts w:hint="default"/>
          <w:lang w:val="ru-RU"/>
        </w:rPr>
        <w:t>о</w:t>
      </w:r>
      <w:r>
        <w:rPr>
          <w:rFonts w:hint="default"/>
          <w:lang w:val="en-US"/>
        </w:rPr>
        <w:t xml:space="preserve"> быть помещен</w:t>
      </w:r>
      <w:r>
        <w:rPr>
          <w:rFonts w:hint="default"/>
          <w:lang w:val="ru-RU"/>
        </w:rPr>
        <w:t>о</w:t>
      </w:r>
      <w:r>
        <w:rPr>
          <w:rFonts w:hint="default"/>
          <w:lang w:val="en-US"/>
        </w:rPr>
        <w:t xml:space="preserve"> в “HAVING” после группировки.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В</w:t>
      </w:r>
      <w:r>
        <w:rPr>
          <w:rFonts w:hint="default"/>
          <w:lang w:val="en-US"/>
        </w:rPr>
        <w:t xml:space="preserve"> “GROUP BY” указан только “DEPARTMENT_NAME”</w:t>
      </w:r>
      <w:r>
        <w:rPr>
          <w:rFonts w:hint="default"/>
          <w:lang w:val="ru-RU"/>
        </w:rPr>
        <w:t xml:space="preserve">, но в </w:t>
      </w:r>
      <w:r>
        <w:rPr>
          <w:rFonts w:hint="default"/>
          <w:lang w:val="en-US"/>
        </w:rPr>
        <w:t xml:space="preserve">“SELECT” </w:t>
      </w:r>
      <w:r>
        <w:rPr>
          <w:rFonts w:hint="default"/>
          <w:lang w:val="ru-RU"/>
        </w:rPr>
        <w:t xml:space="preserve">также находится </w:t>
      </w:r>
      <w:r>
        <w:rPr>
          <w:rFonts w:hint="default"/>
          <w:lang w:val="en-US"/>
        </w:rPr>
        <w:t>“DEPARTMENT_ID”</w:t>
      </w:r>
      <w:r>
        <w:rPr>
          <w:rFonts w:hint="default"/>
          <w:lang w:val="ru-RU"/>
        </w:rPr>
        <w:t xml:space="preserve">. Следует либо исключить </w:t>
      </w:r>
      <w:r>
        <w:rPr>
          <w:rFonts w:hint="default"/>
          <w:lang w:val="en-US"/>
        </w:rPr>
        <w:t xml:space="preserve">“DEPARTMENT_ID” </w:t>
      </w:r>
      <w:r>
        <w:rPr>
          <w:rFonts w:hint="default"/>
          <w:lang w:val="ru-RU"/>
        </w:rPr>
        <w:t xml:space="preserve">из </w:t>
      </w:r>
      <w:r>
        <w:rPr>
          <w:rFonts w:hint="default"/>
          <w:lang w:val="en-US"/>
        </w:rPr>
        <w:t>“SELECT”</w:t>
      </w:r>
      <w:r>
        <w:rPr>
          <w:rFonts w:hint="default"/>
          <w:lang w:val="ru-RU"/>
        </w:rPr>
        <w:t xml:space="preserve"> либо добавить его в </w:t>
      </w:r>
      <w:r>
        <w:rPr>
          <w:rFonts w:hint="default"/>
          <w:lang w:val="en-US"/>
        </w:rPr>
        <w:t>“GROUP BY”</w:t>
      </w:r>
      <w:r>
        <w:rPr>
          <w:rFonts w:hint="default"/>
          <w:lang w:val="ru-RU"/>
        </w:rPr>
        <w:t>.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Для упрощения запроса можно исправить подзапрос с выбором местоположения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инструкцию</w:t>
      </w:r>
      <w:r>
        <w:rPr>
          <w:rFonts w:hint="default"/>
          <w:lang w:val="en-US"/>
        </w:rPr>
        <w:t xml:space="preserve"> “JOIN”</w:t>
      </w:r>
      <w:r>
        <w:rPr>
          <w:rFonts w:hint="default"/>
          <w:lang w:val="ru-RU"/>
        </w:rPr>
        <w:t>.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Исправленный запрос будет выглядеть следующим образом: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SELECT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D.DEPARTMENT_ID,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D.DEPARTMENT_NAME,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SUM(E.SALARY) AS TOTAL_SALARY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FROM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EMPLOYEES E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JOIN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DEPARTMENTS D ON E.DEPARTMENT_ID = D.DEPARTMENT_ID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JOIN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LOCATIONS L ON D.LOCATION_ID = L.LOCATION_ID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WHERE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E.MANAGER_ID IS NULL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AND L.CITY = 'SEOUL'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GROUP BY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D.DEPARTMENT_ID, D.DEPARTMENT_NAME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HAVING 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SUM(E.SALARY) &gt; 100000;</w:t>
      </w:r>
      <w:bookmarkStart w:id="0" w:name="_GoBack"/>
      <w:bookmarkEnd w:id="0"/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4.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Я не могу перепрыгнуть через карандаш, потому что он лежит у  стены.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2510F"/>
    <w:rsid w:val="2AE63F05"/>
    <w:rsid w:val="2B304EDB"/>
    <w:rsid w:val="3E53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2024-08-30T10:01:08Z</dcterms:created>
  <dc:creator>scorp</dc:creator>
  <cp:lastModifiedBy>Konstantin Kireev</cp:lastModifiedBy>
  <dcterms:modified xsi:type="dcterms:W3CDTF">2024-08-30T13:20:50Z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E6113A2D199F426AB753131238DFF5F9_12</vt:lpwstr>
  </property>
</Properties>
</file>