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rFonts w:ascii="Arial" w:cs="Arial" w:eastAsia="Arial" w:hAnsi="Arial"/>
          <w:i/>
          <w:iCs/>
          <w:color w:val="555555"/>
          <w:sz w:val="20"/>
          <w:szCs w:val="20"/>
        </w:rPr>
        <w:t xml:space="preserve">Abomey-Calavi, le 15 mai 2026</w:t>
      </w:r>
    </w:p>
    <w:p>
      <w:pPr>
        <w:spacing w:after="80" w:before="200"/>
        <w:jc w:val="center"/>
      </w:pPr>
      <w:r>
        <w:rPr>
          <w:rFonts w:ascii="Arial" w:cs="Arial" w:eastAsia="Arial" w:hAnsi="Arial"/>
          <w:b/>
          <w:bCs/>
          <w:color w:val="1F4E79"/>
          <w:sz w:val="36"/>
          <w:szCs w:val="36"/>
        </w:rPr>
        <w:t xml:space="preserve">RAPPORT D'OPPORTUNITÉ D'AFFAIRE</w:t>
      </w:r>
    </w:p>
    <w:p>
      <w:pPr>
        <w:spacing w:after="60"/>
        <w:jc w:val="center"/>
      </w:pPr>
      <w:r>
        <w:rPr>
          <w:rFonts w:ascii="Arial" w:cs="Arial" w:eastAsia="Arial" w:hAnsi="Arial"/>
          <w:i/>
          <w:iCs/>
          <w:color w:val="2E75B6"/>
          <w:sz w:val="26"/>
          <w:szCs w:val="26"/>
        </w:rPr>
        <w:t xml:space="preserve">Optimisation du Contrôle de Présence &amp; Gestion IVMS</w:t>
      </w:r>
    </w:p>
    <w:p>
      <w:pPr>
        <w:spacing w:after="320"/>
        <w:jc w:val="center"/>
      </w:pPr>
      <w:r>
        <w:rPr>
          <w:rFonts w:ascii="Arial" w:cs="Arial" w:eastAsia="Arial" w:hAnsi="Arial"/>
          <w:color w:val="666666"/>
          <w:sz w:val="22"/>
          <w:szCs w:val="22"/>
        </w:rPr>
        <w:t xml:space="preserve">Observations terrain et propositions de solutions</w:t>
      </w:r>
    </w:p>
    <w:p>
      <w:pPr>
        <w:pBdr>
          <w:bottom w:val="single" w:color="2E75B6" w:sz="4" w:space="1"/>
        </w:pBdr>
        <w:spacing w:after="200" w:before="200"/>
      </w:pPr>
      <w:r>
        <w:t xml:space="preserve"/>
      </w:r>
    </w:p>
    <w:p>
      <w:pPr>
        <w:spacing w:after="80" w:before="160"/>
      </w:pPr>
      <w:r>
        <w:rPr>
          <w:rFonts w:ascii="Arial" w:cs="Arial" w:eastAsia="Arial" w:hAnsi="Arial"/>
          <w:b/>
          <w:bCs/>
          <w:sz w:val="22"/>
          <w:szCs w:val="22"/>
        </w:rPr>
        <w:t xml:space="preserve">Objet : </w:t>
      </w:r>
      <w:r>
        <w:rPr>
          <w:rFonts w:ascii="Arial" w:cs="Arial" w:eastAsia="Arial" w:hAnsi="Arial"/>
          <w:sz w:val="22"/>
          <w:szCs w:val="22"/>
        </w:rPr>
        <w:t xml:space="preserve">Rapport d’observations opérationnelles et proposition d’une solution mobile de pointage et de gestion IVMS</w:t>
      </w:r>
    </w:p>
    <w:p>
      <w:pPr>
        <w:spacing w:after="80"/>
      </w:pPr>
      <w:r>
        <w:rPr>
          <w:rFonts w:ascii="Arial" w:cs="Arial" w:eastAsia="Arial" w:hAnsi="Arial"/>
          <w:b/>
          <w:bCs/>
          <w:sz w:val="22"/>
          <w:szCs w:val="22"/>
        </w:rPr>
        <w:t xml:space="preserve">Destiné à : </w:t>
      </w:r>
      <w:r>
        <w:rPr>
          <w:rFonts w:ascii="Arial" w:cs="Arial" w:eastAsia="Arial" w:hAnsi="Arial"/>
          <w:sz w:val="22"/>
          <w:szCs w:val="22"/>
        </w:rPr>
        <w:t xml:space="preserve">Direction Générale / Responsable des Ressources Humaines</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28"/>
          <w:szCs w:val="28"/>
        </w:rPr>
        <w:t xml:space="preserve">PARTIE I – PROBLÉMATIQUE DU POINTAGE ET OPPORTUNITÉ D’UNE APPLICATION MOBILE</w:t>
      </w:r>
    </w:p>
    <w:p>
      <w:pPr>
        <w:pStyle w:val="Heading2"/>
        <w:spacing w:after="120" w:before="240"/>
      </w:pPr>
      <w:r>
        <w:rPr>
          <w:rFonts w:ascii="Arial" w:cs="Arial" w:eastAsia="Arial" w:hAnsi="Arial"/>
          <w:b/>
          <w:bCs/>
          <w:color w:val="2E75B6"/>
          <w:sz w:val="24"/>
          <w:szCs w:val="24"/>
        </w:rPr>
        <w:t xml:space="preserve">1.1 Observations constatées sur le terrain</w:t>
      </w:r>
    </w:p>
    <w:p>
      <w:pPr>
        <w:spacing w:after="80" w:before="80"/>
      </w:pPr>
      <w:r>
        <w:rPr>
          <w:rFonts w:ascii="Arial" w:cs="Arial" w:eastAsia="Arial" w:hAnsi="Arial"/>
          <w:sz w:val="22"/>
          <w:szCs w:val="22"/>
        </w:rPr>
        <w:t xml:space="preserve">Les observations suivantes ont été relevées concernant le système de contrôle de présence en vigueur :</w:t>
      </w:r>
    </w:p>
    <w:p>
      <w:pPr>
        <w:pStyle w:val="ListParagraph"/>
        <w:numPr>
          <w:ilvl w:val="0"/>
          <w:numId w:val="2"/>
        </w:numPr>
        <w:spacing w:after="60" w:before="60"/>
      </w:pPr>
      <w:r>
        <w:rPr>
          <w:rFonts w:ascii="Arial" w:cs="Arial" w:eastAsia="Arial" w:hAnsi="Arial"/>
          <w:sz w:val="22"/>
          <w:szCs w:val="22"/>
        </w:rPr>
        <w:t xml:space="preserve">Certains employés se présentent à l’heure mais sont forcés d’attendre 9h00 pour badger, en raison de l’indisponibilité occasionnelle de la personne responsable de l’ouverture de la porte. Ce retard subi ne reflète pas la ponctualité réelle des agents.</w:t>
      </w:r>
    </w:p>
    <w:p>
      <w:pPr>
        <w:pStyle w:val="ListParagraph"/>
        <w:numPr>
          <w:ilvl w:val="0"/>
          <w:numId w:val="2"/>
        </w:numPr>
        <w:spacing w:after="60" w:before="60"/>
      </w:pPr>
      <w:r>
        <w:rPr>
          <w:rFonts w:ascii="Arial" w:cs="Arial" w:eastAsia="Arial" w:hAnsi="Arial"/>
          <w:sz w:val="22"/>
          <w:szCs w:val="22"/>
        </w:rPr>
        <w:t xml:space="preserve">D’autres employés quittent leurs postes tardivement, parfois à 1h00 ou 3h00 du matin. Or, si leur pointage de sortie n’est pas enregistré et qu’ils pointent à l’arrivée le lendemain à 8h00, le système peut interpréter leur présence comme une plage continue allant de 1h00 à 8h00. Cela crée une anomalie grave dans le calcul des heures travaillées et ouvre la voie à des erreurs de paie ou à des fraudes potentielles.</w:t>
      </w:r>
    </w:p>
    <w:p>
      <w:pPr>
        <w:pStyle w:val="Heading2"/>
        <w:spacing w:after="120" w:before="240"/>
      </w:pPr>
      <w:r>
        <w:rPr>
          <w:rFonts w:ascii="Arial" w:cs="Arial" w:eastAsia="Arial" w:hAnsi="Arial"/>
          <w:b/>
          <w:bCs/>
          <w:color w:val="2E75B6"/>
          <w:sz w:val="24"/>
          <w:szCs w:val="24"/>
        </w:rPr>
        <w:t xml:space="preserve">1.2 Opportunité identifiée</w:t>
      </w:r>
    </w:p>
    <w:p>
      <w:pPr>
        <w:spacing w:after="80" w:before="80"/>
      </w:pPr>
      <w:r>
        <w:rPr>
          <w:rFonts w:ascii="Arial" w:cs="Arial" w:eastAsia="Arial" w:hAnsi="Arial"/>
          <w:sz w:val="22"/>
          <w:szCs w:val="22"/>
        </w:rPr>
        <w:t xml:space="preserve">Ces lacunes constituent une opportunité concrète pour le développement d’une application mobile ou web complémentaire, capable de :</w:t>
      </w:r>
    </w:p>
    <w:p>
      <w:pPr>
        <w:pStyle w:val="ListParagraph"/>
        <w:numPr>
          <w:ilvl w:val="0"/>
          <w:numId w:val="2"/>
        </w:numPr>
        <w:spacing w:after="60" w:before="60"/>
      </w:pPr>
      <w:r>
        <w:rPr>
          <w:rFonts w:ascii="Arial" w:cs="Arial" w:eastAsia="Arial" w:hAnsi="Arial"/>
          <w:sz w:val="22"/>
          <w:szCs w:val="22"/>
        </w:rPr>
        <w:t xml:space="preserve">Couvrir les plages horaires non prises en charge par l’application principale (notamment les horaires nocturnes ou les retards d’ouverture).</w:t>
      </w:r>
    </w:p>
    <w:p>
      <w:pPr>
        <w:pStyle w:val="ListParagraph"/>
        <w:numPr>
          <w:ilvl w:val="0"/>
          <w:numId w:val="2"/>
        </w:numPr>
        <w:spacing w:after="60" w:before="60"/>
      </w:pPr>
      <w:r>
        <w:rPr>
          <w:rFonts w:ascii="Arial" w:cs="Arial" w:eastAsia="Arial" w:hAnsi="Arial"/>
          <w:sz w:val="22"/>
          <w:szCs w:val="22"/>
        </w:rPr>
        <w:t xml:space="preserve">Transmettre automatiquement les données de pointage vers FluidPay pour les heures non couvertes par le système physique de badgeage.</w:t>
      </w:r>
    </w:p>
    <w:p>
      <w:pPr>
        <w:pStyle w:val="ListParagraph"/>
        <w:numPr>
          <w:ilvl w:val="0"/>
          <w:numId w:val="2"/>
        </w:numPr>
        <w:spacing w:after="60" w:before="60"/>
      </w:pPr>
      <w:r>
        <w:rPr>
          <w:rFonts w:ascii="Arial" w:cs="Arial" w:eastAsia="Arial" w:hAnsi="Arial"/>
          <w:sz w:val="22"/>
          <w:szCs w:val="22"/>
        </w:rPr>
        <w:t xml:space="preserve">Justifier le pointage distant lorsque l’accès physique est retardé ou impossible.</w:t>
      </w:r>
    </w:p>
    <w:p>
      <w:pPr>
        <w:pStyle w:val="Heading2"/>
        <w:spacing w:after="120" w:before="240"/>
      </w:pPr>
      <w:r>
        <w:rPr>
          <w:rFonts w:ascii="Arial" w:cs="Arial" w:eastAsia="Arial" w:hAnsi="Arial"/>
          <w:b/>
          <w:bCs/>
          <w:color w:val="2E75B6"/>
          <w:sz w:val="24"/>
          <w:szCs w:val="24"/>
        </w:rPr>
        <w:t xml:space="preserve">1.3 Description de la solution proposée</w:t>
      </w:r>
    </w:p>
    <w:p>
      <w:pPr>
        <w:spacing w:after="80" w:before="80"/>
      </w:pPr>
      <w:r>
        <w:rPr>
          <w:rFonts w:ascii="Arial" w:cs="Arial" w:eastAsia="Arial" w:hAnsi="Arial"/>
          <w:sz w:val="22"/>
          <w:szCs w:val="22"/>
        </w:rPr>
        <w:t xml:space="preserve">L’application mobile ou web proposée reposera sur trois piliers technologiques garantissant la fiabilité et la sécurité du pointage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2"/>
                <w:szCs w:val="22"/>
              </w:rPr>
              <w:t xml:space="preserve">Composant</w:t>
            </w:r>
          </w:p>
        </w:tc>
        <w:tc>
          <w:tcPr>
            <w:tcW w:type="dxa" w:w="6526"/>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sz w:val="22"/>
                <w:szCs w:val="22"/>
              </w:rPr>
              <w:t xml:space="preserve">Rôle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Numéro de téléphone MoMo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Identification unique de l’employé via son numéro Mobile Money, garantissant l’authenticité de l’identité.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SMS de confirmation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Envoi d’un code de validation par SMS pour confirmer chaque opération de pointage et éviter toute usurpation.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Géolocalisation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Vérification en temps réel que l’employé se trouve bien sur le site lors du pointage, éliminant tout risque de fraude à distance.</w:t>
            </w:r>
          </w:p>
        </w:tc>
      </w:tr>
    </w:tbl>
    <w:p>
      <w:pPr>
        <w:spacing w:after="120"/>
      </w:pPr>
      <w:r>
        <w:t xml:space="preserve"/>
      </w:r>
    </w:p>
    <w:p>
      <w:pPr>
        <w:spacing w:after="80" w:before="80"/>
      </w:pPr>
      <w:r>
        <w:rPr>
          <w:rFonts w:ascii="Arial" w:cs="Arial" w:eastAsia="Arial" w:hAnsi="Arial"/>
          <w:sz w:val="22"/>
          <w:szCs w:val="22"/>
        </w:rPr>
        <w:t xml:space="preserve">Cette combinaison assure la présence physique réelle de l’employé sur site au moment du pointage, tout en offrant une solution légitime et auditée pour les situations atypiques.</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28"/>
          <w:szCs w:val="28"/>
        </w:rPr>
        <w:t xml:space="preserve">PARTIE II – PROCÉDURE D’INSTALLATION ET DE GESTION IVMS</w:t>
      </w:r>
    </w:p>
    <w:p>
      <w:pPr>
        <w:spacing w:after="80" w:before="80"/>
      </w:pPr>
      <w:r>
        <w:rPr>
          <w:rFonts w:ascii="Arial" w:cs="Arial" w:eastAsia="Arial" w:hAnsi="Arial"/>
          <w:sz w:val="22"/>
          <w:szCs w:val="22"/>
        </w:rPr>
        <w:t xml:space="preserve">La section suivante décrit la procédure standardisée d’installation et d’utilisation du logiciel IVMS, utilisé pour la gestion des équipements de contrôle d’accès et la collecte des pointages.</w:t>
      </w:r>
    </w:p>
    <w:p>
      <w:pPr>
        <w:pStyle w:val="Heading2"/>
        <w:spacing w:after="120" w:before="240"/>
      </w:pPr>
      <w:r>
        <w:rPr>
          <w:rFonts w:ascii="Arial" w:cs="Arial" w:eastAsia="Arial" w:hAnsi="Arial"/>
          <w:b/>
          <w:bCs/>
          <w:color w:val="2E75B6"/>
          <w:sz w:val="24"/>
          <w:szCs w:val="24"/>
        </w:rPr>
        <w:t xml:space="preserve">2.1 Installation du logiciel IVMS</w:t>
      </w:r>
    </w:p>
    <w:p>
      <w:pPr>
        <w:spacing w:after="80" w:before="80"/>
      </w:pPr>
      <w:r>
        <w:rPr>
          <w:rFonts w:ascii="Arial" w:cs="Arial" w:eastAsia="Arial" w:hAnsi="Arial"/>
          <w:sz w:val="22"/>
          <w:szCs w:val="22"/>
        </w:rPr>
        <w:t xml:space="preserve">L’installation du logiciel se fait en acceptant les configurations par défaut. Procéder dans l’ordre suivant :</w:t>
      </w:r>
    </w:p>
    <w:p>
      <w:pPr>
        <w:pStyle w:val="ListParagraph"/>
        <w:numPr>
          <w:ilvl w:val="0"/>
          <w:numId w:val="3"/>
        </w:numPr>
        <w:spacing w:after="60" w:before="60"/>
      </w:pPr>
      <w:r>
        <w:rPr>
          <w:rFonts w:ascii="Arial" w:cs="Arial" w:eastAsia="Arial" w:hAnsi="Arial"/>
          <w:sz w:val="22"/>
          <w:szCs w:val="22"/>
        </w:rPr>
        <w:t xml:space="preserve">Cliquer sur « I Agree » pour accepter les conditions d’utilisation.</w:t>
      </w:r>
    </w:p>
    <w:p>
      <w:pPr>
        <w:pStyle w:val="ListParagraph"/>
        <w:numPr>
          <w:ilvl w:val="0"/>
          <w:numId w:val="3"/>
        </w:numPr>
        <w:spacing w:after="60" w:before="60"/>
      </w:pPr>
      <w:r>
        <w:rPr>
          <w:rFonts w:ascii="Arial" w:cs="Arial" w:eastAsia="Arial" w:hAnsi="Arial"/>
          <w:sz w:val="22"/>
          <w:szCs w:val="22"/>
        </w:rPr>
        <w:t xml:space="preserve">Cliquer sur « Next » pour passer à l’étape suivante.</w:t>
      </w:r>
    </w:p>
    <w:p>
      <w:pPr>
        <w:pStyle w:val="ListParagraph"/>
        <w:numPr>
          <w:ilvl w:val="0"/>
          <w:numId w:val="3"/>
        </w:numPr>
        <w:spacing w:after="60" w:before="60"/>
      </w:pPr>
      <w:r>
        <w:rPr>
          <w:rFonts w:ascii="Arial" w:cs="Arial" w:eastAsia="Arial" w:hAnsi="Arial"/>
          <w:sz w:val="22"/>
          <w:szCs w:val="22"/>
        </w:rPr>
        <w:t xml:space="preserve">Cliquer sur « Install » pour lancer l’installation avec les paramètres par défaut.</w:t>
      </w:r>
    </w:p>
    <w:p>
      <w:pPr>
        <w:pStyle w:val="Heading2"/>
        <w:spacing w:after="120" w:before="240"/>
      </w:pPr>
      <w:r>
        <w:rPr>
          <w:rFonts w:ascii="Arial" w:cs="Arial" w:eastAsia="Arial" w:hAnsi="Arial"/>
          <w:b/>
          <w:bCs/>
          <w:color w:val="2E75B6"/>
          <w:sz w:val="24"/>
          <w:szCs w:val="24"/>
        </w:rPr>
        <w:t xml:space="preserve">2.2 Connexion et authentification</w:t>
      </w:r>
    </w:p>
    <w:p>
      <w:pPr>
        <w:spacing w:after="80" w:before="80"/>
      </w:pPr>
      <w:r>
        <w:rPr>
          <w:rFonts w:ascii="Arial" w:cs="Arial" w:eastAsia="Arial" w:hAnsi="Arial"/>
          <w:sz w:val="22"/>
          <w:szCs w:val="22"/>
        </w:rPr>
        <w:t xml:space="preserve">Après installation, accéder à la page de connexion et renseigner les identifiants suivants :</w:t>
      </w:r>
    </w:p>
    <w:p>
      <w:pPr>
        <w:pStyle w:val="ListParagraph"/>
        <w:numPr>
          <w:ilvl w:val="0"/>
          <w:numId w:val="2"/>
        </w:numPr>
        <w:spacing w:after="60" w:before="60"/>
      </w:pPr>
      <w:r>
        <w:rPr>
          <w:rFonts w:ascii="Arial" w:cs="Arial" w:eastAsia="Arial" w:hAnsi="Arial"/>
          <w:sz w:val="22"/>
          <w:szCs w:val="22"/>
        </w:rPr>
        <w:t xml:space="preserve">Nom d’utilisateur : Admin</w:t>
      </w:r>
    </w:p>
    <w:p>
      <w:pPr>
        <w:pStyle w:val="ListParagraph"/>
        <w:numPr>
          <w:ilvl w:val="0"/>
          <w:numId w:val="2"/>
        </w:numPr>
        <w:spacing w:after="60" w:before="60"/>
      </w:pPr>
      <w:r>
        <w:rPr>
          <w:rFonts w:ascii="Arial" w:cs="Arial" w:eastAsia="Arial" w:hAnsi="Arial"/>
          <w:sz w:val="22"/>
          <w:szCs w:val="22"/>
        </w:rPr>
        <w:t xml:space="preserve">Mot de passe : Newivms@26</w:t>
      </w:r>
    </w:p>
    <w:p>
      <w:pPr>
        <w:pStyle w:val="Heading2"/>
        <w:spacing w:after="120" w:before="240"/>
      </w:pPr>
      <w:r>
        <w:rPr>
          <w:rFonts w:ascii="Arial" w:cs="Arial" w:eastAsia="Arial" w:hAnsi="Arial"/>
          <w:b/>
          <w:bCs/>
          <w:color w:val="2E75B6"/>
          <w:sz w:val="24"/>
          <w:szCs w:val="24"/>
        </w:rPr>
        <w:t xml:space="preserve">2.3 Ajout d’un équipement (Device Management)</w:t>
      </w:r>
    </w:p>
    <w:p>
      <w:pPr>
        <w:spacing w:after="80" w:before="80"/>
      </w:pPr>
      <w:r>
        <w:rPr>
          <w:rFonts w:ascii="Arial" w:cs="Arial" w:eastAsia="Arial" w:hAnsi="Arial"/>
          <w:sz w:val="22"/>
          <w:szCs w:val="22"/>
        </w:rPr>
        <w:t xml:space="preserve">Une fois connecté, suivre les étapes ci-dessous pour ajouter un équipement :</w:t>
      </w:r>
    </w:p>
    <w:p>
      <w:pPr>
        <w:pStyle w:val="ListParagraph"/>
        <w:numPr>
          <w:ilvl w:val="0"/>
          <w:numId w:val="3"/>
        </w:numPr>
        <w:spacing w:after="60" w:before="60"/>
      </w:pPr>
      <w:r>
        <w:rPr>
          <w:rFonts w:ascii="Arial" w:cs="Arial" w:eastAsia="Arial" w:hAnsi="Arial"/>
          <w:sz w:val="22"/>
          <w:szCs w:val="22"/>
        </w:rPr>
        <w:t xml:space="preserve">Cliquer sur l’icône du coin supérieur gauche pour ouvrir le menu principal.</w:t>
      </w:r>
    </w:p>
    <w:p>
      <w:pPr>
        <w:pStyle w:val="ListParagraph"/>
        <w:numPr>
          <w:ilvl w:val="0"/>
          <w:numId w:val="3"/>
        </w:numPr>
        <w:spacing w:after="60" w:before="60"/>
      </w:pPr>
      <w:r>
        <w:rPr>
          <w:rFonts w:ascii="Arial" w:cs="Arial" w:eastAsia="Arial" w:hAnsi="Arial"/>
          <w:sz w:val="22"/>
          <w:szCs w:val="22"/>
        </w:rPr>
        <w:t xml:space="preserve">Sélectionner « Device Management », puis cliquer sur « Online » pour afficher la liste des équipements connectés.</w:t>
      </w:r>
    </w:p>
    <w:p>
      <w:pPr>
        <w:pStyle w:val="ListParagraph"/>
        <w:numPr>
          <w:ilvl w:val="0"/>
          <w:numId w:val="3"/>
        </w:numPr>
        <w:spacing w:after="60" w:before="60"/>
      </w:pPr>
      <w:r>
        <w:rPr>
          <w:rFonts w:ascii="Arial" w:cs="Arial" w:eastAsia="Arial" w:hAnsi="Arial"/>
          <w:sz w:val="22"/>
          <w:szCs w:val="22"/>
        </w:rPr>
        <w:t xml:space="preserve">Identifier l’équipement souhaité grâce à son adresse IP, le sélectionner, puis cliquer sur le bouton « Add ».</w:t>
      </w:r>
    </w:p>
    <w:p>
      <w:pPr>
        <w:pStyle w:val="ListParagraph"/>
        <w:numPr>
          <w:ilvl w:val="0"/>
          <w:numId w:val="3"/>
        </w:numPr>
        <w:spacing w:after="60" w:before="60"/>
      </w:pPr>
      <w:r>
        <w:rPr>
          <w:rFonts w:ascii="Arial" w:cs="Arial" w:eastAsia="Arial" w:hAnsi="Arial"/>
          <w:sz w:val="22"/>
          <w:szCs w:val="22"/>
        </w:rPr>
        <w:t xml:space="preserve">Dans la fenêtre qui s’ouvre, renseigner les informations suivantes :</w:t>
      </w:r>
    </w:p>
    <w:p>
      <w:pPr>
        <w:pStyle w:val="ListParagraph"/>
        <w:numPr>
          <w:ilvl w:val="0"/>
          <w:numId w:val="2"/>
        </w:numPr>
        <w:spacing w:after="60" w:before="60"/>
      </w:pPr>
      <w:r>
        <w:rPr>
          <w:rFonts w:ascii="Arial" w:cs="Arial" w:eastAsia="Arial" w:hAnsi="Arial"/>
          <w:sz w:val="22"/>
          <w:szCs w:val="22"/>
        </w:rPr>
        <w:t xml:space="preserve">Nom de l’équipement (libre choix).</w:t>
      </w:r>
    </w:p>
    <w:p>
      <w:pPr>
        <w:pStyle w:val="ListParagraph"/>
        <w:numPr>
          <w:ilvl w:val="0"/>
          <w:numId w:val="2"/>
        </w:numPr>
        <w:spacing w:after="60" w:before="60"/>
      </w:pPr>
      <w:r>
        <w:rPr>
          <w:rFonts w:ascii="Arial" w:cs="Arial" w:eastAsia="Arial" w:hAnsi="Arial"/>
          <w:sz w:val="22"/>
          <w:szCs w:val="22"/>
        </w:rPr>
        <w:t xml:space="preserve">Mot de passe d’activation : soft2023.</w:t>
      </w:r>
    </w:p>
    <w:p>
      <w:pPr>
        <w:pStyle w:val="Heading2"/>
        <w:spacing w:after="120" w:before="240"/>
      </w:pPr>
      <w:r>
        <w:rPr>
          <w:rFonts w:ascii="Arial" w:cs="Arial" w:eastAsia="Arial" w:hAnsi="Arial"/>
          <w:b/>
          <w:bCs/>
          <w:color w:val="2E75B6"/>
          <w:sz w:val="24"/>
          <w:szCs w:val="24"/>
        </w:rPr>
        <w:t xml:space="preserve">2.4 Récupération des utilisateurs enregistrés</w:t>
      </w:r>
    </w:p>
    <w:p>
      <w:pPr>
        <w:spacing w:after="80" w:before="80"/>
      </w:pPr>
      <w:r>
        <w:rPr>
          <w:rFonts w:ascii="Arial" w:cs="Arial" w:eastAsia="Arial" w:hAnsi="Arial"/>
          <w:sz w:val="22"/>
          <w:szCs w:val="22"/>
        </w:rPr>
        <w:t xml:space="preserve">Depuis le tableau de bord, accéder aux utilisateurs liés à l’équipement :</w:t>
      </w:r>
    </w:p>
    <w:p>
      <w:pPr>
        <w:pStyle w:val="ListParagraph"/>
        <w:numPr>
          <w:ilvl w:val="0"/>
          <w:numId w:val="3"/>
        </w:numPr>
        <w:spacing w:after="60" w:before="60"/>
      </w:pPr>
      <w:r>
        <w:rPr>
          <w:rFonts w:ascii="Arial" w:cs="Arial" w:eastAsia="Arial" w:hAnsi="Arial"/>
          <w:sz w:val="22"/>
          <w:szCs w:val="22"/>
        </w:rPr>
        <w:t xml:space="preserve">Cliquer sur « Access Control ».</w:t>
      </w:r>
    </w:p>
    <w:p>
      <w:pPr>
        <w:pStyle w:val="ListParagraph"/>
        <w:numPr>
          <w:ilvl w:val="0"/>
          <w:numId w:val="3"/>
        </w:numPr>
        <w:spacing w:after="60" w:before="60"/>
      </w:pPr>
      <w:r>
        <w:rPr>
          <w:rFonts w:ascii="Arial" w:cs="Arial" w:eastAsia="Arial" w:hAnsi="Arial"/>
          <w:sz w:val="22"/>
          <w:szCs w:val="22"/>
        </w:rPr>
        <w:t xml:space="preserve">Cliquer sur « Person » pour afficher la liste des personnes enregistrées.</w:t>
      </w:r>
    </w:p>
    <w:p>
      <w:pPr>
        <w:pStyle w:val="Heading2"/>
        <w:spacing w:after="120" w:before="240"/>
      </w:pPr>
      <w:r>
        <w:rPr>
          <w:rFonts w:ascii="Arial" w:cs="Arial" w:eastAsia="Arial" w:hAnsi="Arial"/>
          <w:b/>
          <w:bCs/>
          <w:color w:val="2E75B6"/>
          <w:sz w:val="24"/>
          <w:szCs w:val="24"/>
        </w:rPr>
        <w:t xml:space="preserve">2.5 Extraction des données de pointage</w:t>
      </w:r>
    </w:p>
    <w:p>
      <w:pPr>
        <w:spacing w:after="80" w:before="80"/>
      </w:pPr>
      <w:r>
        <w:rPr>
          <w:rFonts w:ascii="Arial" w:cs="Arial" w:eastAsia="Arial" w:hAnsi="Arial"/>
          <w:sz w:val="22"/>
          <w:szCs w:val="22"/>
        </w:rPr>
        <w:t xml:space="preserve">Pour extraire les pointages enregistrés par l’équipement, procéder comme suit :</w:t>
      </w:r>
    </w:p>
    <w:p>
      <w:pPr>
        <w:pStyle w:val="ListParagraph"/>
        <w:numPr>
          <w:ilvl w:val="0"/>
          <w:numId w:val="3"/>
        </w:numPr>
        <w:spacing w:after="60" w:before="60"/>
      </w:pPr>
      <w:r>
        <w:rPr>
          <w:rFonts w:ascii="Arial" w:cs="Arial" w:eastAsia="Arial" w:hAnsi="Arial"/>
          <w:sz w:val="22"/>
          <w:szCs w:val="22"/>
        </w:rPr>
        <w:t xml:space="preserve">Dans la barre latérale droite, cliquer sur « Time and Attendance Wizard ».</w:t>
      </w:r>
    </w:p>
    <w:p>
      <w:pPr>
        <w:pStyle w:val="ListParagraph"/>
        <w:numPr>
          <w:ilvl w:val="0"/>
          <w:numId w:val="3"/>
        </w:numPr>
        <w:spacing w:after="60" w:before="60"/>
      </w:pPr>
      <w:r>
        <w:rPr>
          <w:rFonts w:ascii="Arial" w:cs="Arial" w:eastAsia="Arial" w:hAnsi="Arial"/>
          <w:sz w:val="22"/>
          <w:szCs w:val="22"/>
        </w:rPr>
        <w:t xml:space="preserve">Cliquer sur « Report », puis sur « Attendance Record ».</w:t>
      </w:r>
    </w:p>
    <w:p>
      <w:pPr>
        <w:pStyle w:val="ListParagraph"/>
        <w:numPr>
          <w:ilvl w:val="0"/>
          <w:numId w:val="3"/>
        </w:numPr>
        <w:spacing w:after="60" w:before="60"/>
      </w:pPr>
      <w:r>
        <w:rPr>
          <w:rFonts w:ascii="Arial" w:cs="Arial" w:eastAsia="Arial" w:hAnsi="Arial"/>
          <w:sz w:val="22"/>
          <w:szCs w:val="22"/>
        </w:rPr>
        <w:t xml:space="preserve">Cliquer sur « Get Event from Device », puis sélectionner « All » pour récupérer l’ensemble des événements.</w:t>
      </w:r>
    </w:p>
    <w:p>
      <w:pPr>
        <w:pStyle w:val="ListParagraph"/>
        <w:numPr>
          <w:ilvl w:val="0"/>
          <w:numId w:val="3"/>
        </w:numPr>
        <w:spacing w:after="60" w:before="60"/>
      </w:pPr>
      <w:r>
        <w:rPr>
          <w:rFonts w:ascii="Arial" w:cs="Arial" w:eastAsia="Arial" w:hAnsi="Arial"/>
          <w:sz w:val="22"/>
          <w:szCs w:val="22"/>
        </w:rPr>
        <w:t xml:space="preserve">Cliquer sur « Search » pour afficher la liste complète des pointages.</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28"/>
          <w:szCs w:val="28"/>
        </w:rPr>
        <w:t xml:space="preserve">CONCLUSION ET RECOMMANDATIONS</w:t>
      </w:r>
    </w:p>
    <w:p>
      <w:pPr>
        <w:spacing w:after="80" w:before="80"/>
      </w:pPr>
      <w:r>
        <w:rPr>
          <w:rFonts w:ascii="Arial" w:cs="Arial" w:eastAsia="Arial" w:hAnsi="Arial"/>
          <w:sz w:val="22"/>
          <w:szCs w:val="22"/>
        </w:rPr>
        <w:t xml:space="preserve">Les observations rapportées révèlent deux axes d’amélioration prioritaires :</w:t>
      </w:r>
    </w:p>
    <w:p>
      <w:pPr>
        <w:pStyle w:val="ListParagraph"/>
        <w:numPr>
          <w:ilvl w:val="0"/>
          <w:numId w:val="2"/>
        </w:numPr>
        <w:spacing w:after="60" w:before="60"/>
      </w:pPr>
      <w:r>
        <w:rPr>
          <w:rFonts w:ascii="Arial" w:cs="Arial" w:eastAsia="Arial" w:hAnsi="Arial"/>
          <w:sz w:val="22"/>
          <w:szCs w:val="22"/>
        </w:rPr>
        <w:t xml:space="preserve">La mise en place d’une application mobile de pointage sécurisé (via MoMo, SMS et géolocalisation) pour pallier les défaillances du système physique et couvrir les plages horaires atypiques, avec synchronisation vers FluidPay.</w:t>
      </w:r>
    </w:p>
    <w:p>
      <w:pPr>
        <w:pStyle w:val="ListParagraph"/>
        <w:numPr>
          <w:ilvl w:val="0"/>
          <w:numId w:val="2"/>
        </w:numPr>
        <w:spacing w:after="60" w:before="60"/>
      </w:pPr>
      <w:r>
        <w:rPr>
          <w:rFonts w:ascii="Arial" w:cs="Arial" w:eastAsia="Arial" w:hAnsi="Arial"/>
          <w:sz w:val="22"/>
          <w:szCs w:val="22"/>
        </w:rPr>
        <w:t xml:space="preserve">La standardisation de la procédure IVMS pour assurer une gestion rigoureuse et homogène des équipements de contrôle d’accès au sein de l’organisation.</w:t>
      </w:r>
    </w:p>
    <w:p>
      <w:pPr>
        <w:spacing w:after="80" w:before="120"/>
      </w:pPr>
      <w:r>
        <w:t xml:space="preserve"/>
      </w:r>
    </w:p>
    <w:p>
      <w:pPr>
        <w:spacing w:after="80" w:before="80"/>
      </w:pPr>
      <w:r>
        <w:rPr>
          <w:rFonts w:ascii="Arial" w:cs="Arial" w:eastAsia="Arial" w:hAnsi="Arial"/>
          <w:sz w:val="22"/>
          <w:szCs w:val="22"/>
        </w:rPr>
        <w:t xml:space="preserve">Ces deux solutions, combinées, permettront de garantir l’intégrité des données de présence, de protéger l’organisation contre les anomalies de pointage, et d’améliorer la qualité de vie au travail des employés concernés.</w:t>
      </w:r>
    </w:p>
    <w:p>
      <w:pPr>
        <w:spacing w:after="80" w:before="400"/>
      </w:pPr>
      <w:r>
        <w:rPr>
          <w:rFonts w:ascii="Arial" w:cs="Arial" w:eastAsia="Arial" w:hAnsi="Arial"/>
          <w:i/>
          <w:iCs/>
          <w:sz w:val="22"/>
          <w:szCs w:val="22"/>
        </w:rPr>
        <w:t xml:space="preserve">Fait à Abomey-Calavi, le 15 mai 2026</w:t>
      </w:r>
    </w:p>
    <w:p>
      <w:pPr>
        <w:spacing w:after="80"/>
      </w:pPr>
      <w:r>
        <w:rPr>
          <w:rFonts w:ascii="Arial" w:cs="Arial" w:eastAsia="Arial" w:hAnsi="Arial"/>
          <w:b/>
          <w:bCs/>
          <w:sz w:val="22"/>
          <w:szCs w:val="22"/>
        </w:rPr>
        <w:t xml:space="preserve">L’auteur du rapport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2026-05-15T12:36:54.334Z</dcterms:created>
  <dcterms:modified xsi:type="dcterms:W3CDTF">2026-05-15T12:36:54.334Z</dcterms:modified>
</cp:coreProperties>
</file>

<file path=docProps/custom.xml><?xml version="1.0" encoding="utf-8"?>
<Properties xmlns="http://schemas.openxmlformats.org/officeDocument/2006/custom-properties" xmlns:vt="http://schemas.openxmlformats.org/officeDocument/2006/docPropsVTypes"/>
</file>