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w:t>
      </w:r>
    </w:p>
    <w:p>
      <w:pPr>
        <w:spacing w:line="360"/>
        <w:jc w:val="center"/>
      </w:pPr>
      <w:r>
        <w:t xml:space="preserve">Documentación técnica</w:t>
      </w:r>
    </w:p>
    <w:p/>
    <w:p/>
    <w:p/>
    <w:p>
      <w:pPr>
        <w:spacing w:line="360"/>
        <w:jc w:val="center"/>
      </w:pPr>
      <w:r>
        <w:t xml:space="preserve">Instructor:</w:t>
      </w:r>
    </w:p>
    <w:p>
      <w:pPr>
        <w:spacing w:line="360"/>
        <w:jc w:val="center"/>
      </w:pPr>
      <w:r>
        <w:t xml:space="preserve">______________________________</w:t>
      </w:r>
    </w:p>
    <w:p/>
    <w:p/>
    <w:p>
      <w:pPr>
        <w:spacing w:line="360"/>
        <w:jc w:val="center"/>
      </w:pPr>
      <w:r>
        <w:t xml:space="preserve">Aprendiz:</w:t>
      </w:r>
    </w:p>
    <w:p>
      <w:pPr>
        <w:spacing w:line="360"/>
        <w:jc w:val="center"/>
      </w:pPr>
      <w:r>
        <w:t xml:space="preserve">Nelson Esteban Mejía Gómez</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8</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Usuarios objetivo</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habitual sin un sistema</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21</w:t>
      </w:r>
    </w:p>
    <w:p>
      <w:pPr>
        <w:tabs>
          <w:tab w:val="right" w:pos="9360" w:leader="dot"/>
        </w:tabs>
        <w:spacing w:after="60" w:before="80" w:line="300"/>
        <w:ind w:left="0"/>
      </w:pPr>
      <w:r>
        <w:rPr>
          <w:b/>
          <w:bCs/>
          <w:sz w:val="23"/>
          <w:szCs w:val="23"/>
        </w:rPr>
        <w:t xml:space="preserve">7. Historias de usuario</w:t>
      </w:r>
      <w:r>
        <w:rPr>
          <w:sz w:val="22"/>
          <w:szCs w:val="22"/>
        </w:rPr>
        <w:t xml:space="preserve">	24</w:t>
      </w:r>
    </w:p>
    <w:p>
      <w:pPr>
        <w:tabs>
          <w:tab w:val="right" w:pos="9360" w:leader="dot"/>
        </w:tabs>
        <w:spacing w:after="60" w:before="80" w:line="300"/>
        <w:ind w:left="0"/>
      </w:pPr>
      <w:r>
        <w:rPr>
          <w:b/>
          <w:bCs/>
          <w:sz w:val="23"/>
          <w:szCs w:val="23"/>
        </w:rPr>
        <w:t xml:space="preserve">8. Diseño y modelo UML</w:t>
      </w:r>
      <w:r>
        <w:rPr>
          <w:sz w:val="22"/>
          <w:szCs w:val="22"/>
        </w:rPr>
        <w:t xml:space="preserve">	26</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26</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26</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27</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28</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69</w:t>
      </w:r>
    </w:p>
    <w:p>
      <w:pPr>
        <w:tabs>
          <w:tab w:val="right" w:pos="9360" w:leader="dot"/>
        </w:tabs>
        <w:spacing w:after="60" w:before="80" w:line="300"/>
        <w:ind w:left="0"/>
      </w:pPr>
      <w:r>
        <w:rPr>
          <w:b/>
          <w:bCs/>
          <w:sz w:val="23"/>
          <w:szCs w:val="23"/>
        </w:rPr>
        <w:t xml:space="preserve">9. Flujo del negocio y estados</w:t>
      </w:r>
      <w:r>
        <w:rPr>
          <w:sz w:val="22"/>
          <w:szCs w:val="22"/>
        </w:rPr>
        <w:t xml:space="preserve">	74</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74</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75</w:t>
      </w:r>
    </w:p>
    <w:p>
      <w:pPr>
        <w:tabs>
          <w:tab w:val="right" w:pos="9360" w:leader="dot"/>
        </w:tabs>
        <w:spacing w:after="60" w:before="80" w:line="300"/>
        <w:ind w:left="0"/>
      </w:pPr>
      <w:r>
        <w:rPr>
          <w:b/>
          <w:bCs/>
          <w:sz w:val="23"/>
          <w:szCs w:val="23"/>
        </w:rPr>
        <w:t xml:space="preserve">10. Arquitectura y tecnología</w:t>
      </w:r>
      <w:r>
        <w:rPr>
          <w:sz w:val="22"/>
          <w:szCs w:val="22"/>
        </w:rPr>
        <w:t xml:space="preserve">	77</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77</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77</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78</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79</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79</w:t>
      </w:r>
    </w:p>
    <w:p>
      <w:pPr>
        <w:tabs>
          <w:tab w:val="right" w:pos="9360" w:leader="dot"/>
        </w:tabs>
        <w:spacing w:after="20" w:before="0" w:line="300"/>
        <w:ind w:left="480"/>
      </w:pPr>
      <w:r>
        <w:rPr>
          <w:b w:val="false"/>
          <w:bCs w:val="false"/>
          <w:sz w:val="22"/>
          <w:szCs w:val="22"/>
        </w:rPr>
        <w:t xml:space="preserve">10.6. Seguridad</w:t>
      </w:r>
      <w:r>
        <w:rPr>
          <w:sz w:val="22"/>
          <w:szCs w:val="22"/>
        </w:rPr>
        <w:t xml:space="preserve">	80</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81</w:t>
      </w:r>
    </w:p>
    <w:p>
      <w:pPr>
        <w:tabs>
          <w:tab w:val="right" w:pos="9360" w:leader="dot"/>
        </w:tabs>
        <w:spacing w:after="60" w:before="80" w:line="300"/>
        <w:ind w:left="0"/>
      </w:pPr>
      <w:r>
        <w:rPr>
          <w:b/>
          <w:bCs/>
          <w:sz w:val="23"/>
          <w:szCs w:val="23"/>
        </w:rPr>
        <w:t xml:space="preserve">11. Diseño del modelo de datos</w:t>
      </w:r>
      <w:r>
        <w:rPr>
          <w:sz w:val="22"/>
          <w:szCs w:val="22"/>
        </w:rPr>
        <w:t xml:space="preserve">	82</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82</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82</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82</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88</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90</w:t>
      </w:r>
    </w:p>
    <w:p>
      <w:pPr>
        <w:tabs>
          <w:tab w:val="right" w:pos="9360" w:leader="dot"/>
        </w:tabs>
        <w:spacing w:after="20" w:before="0" w:line="300"/>
        <w:ind w:left="480"/>
      </w:pPr>
      <w:r>
        <w:rPr>
          <w:b w:val="false"/>
          <w:bCs w:val="false"/>
          <w:sz w:val="22"/>
          <w:szCs w:val="22"/>
        </w:rPr>
        <w:t xml:space="preserve">11.6. Vistas</w:t>
      </w:r>
      <w:r>
        <w:rPr>
          <w:sz w:val="22"/>
          <w:szCs w:val="22"/>
        </w:rPr>
        <w:t xml:space="preserve">	109</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109</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109</w:t>
      </w:r>
    </w:p>
    <w:p>
      <w:pPr>
        <w:tabs>
          <w:tab w:val="right" w:pos="9360" w:leader="dot"/>
        </w:tabs>
        <w:spacing w:after="60" w:before="80" w:line="300"/>
        <w:ind w:left="0"/>
      </w:pPr>
      <w:r>
        <w:rPr>
          <w:b/>
          <w:bCs/>
          <w:sz w:val="23"/>
          <w:szCs w:val="23"/>
        </w:rPr>
        <w:t xml:space="preserve">12. API REST</w:t>
      </w:r>
      <w:r>
        <w:rPr>
          <w:sz w:val="22"/>
          <w:szCs w:val="22"/>
        </w:rPr>
        <w:t xml:space="preserve">	115</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115</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115</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115</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116</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116</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117</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117</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118</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118</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118</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119</w:t>
      </w:r>
    </w:p>
    <w:p>
      <w:pPr>
        <w:tabs>
          <w:tab w:val="right" w:pos="9360" w:leader="dot"/>
        </w:tabs>
        <w:spacing w:after="60" w:before="80" w:line="300"/>
        <w:ind w:left="0"/>
      </w:pPr>
      <w:r>
        <w:rPr>
          <w:b/>
          <w:bCs/>
          <w:sz w:val="23"/>
          <w:szCs w:val="23"/>
        </w:rPr>
        <w:t xml:space="preserve">13. Instalación y ejecución</w:t>
      </w:r>
      <w:r>
        <w:rPr>
          <w:sz w:val="22"/>
          <w:szCs w:val="22"/>
        </w:rPr>
        <w:t xml:space="preserve">	120</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120</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120</w:t>
      </w:r>
    </w:p>
    <w:p>
      <w:pPr>
        <w:tabs>
          <w:tab w:val="right" w:pos="9360" w:leader="dot"/>
        </w:tabs>
        <w:spacing w:after="20" w:before="0" w:line="300"/>
        <w:ind w:left="480"/>
      </w:pPr>
      <w:r>
        <w:rPr>
          <w:b w:val="false"/>
          <w:bCs w:val="false"/>
          <w:sz w:val="22"/>
          <w:szCs w:val="22"/>
        </w:rPr>
        <w:t xml:space="preserve">13.3. App</w:t>
      </w:r>
      <w:r>
        <w:rPr>
          <w:sz w:val="22"/>
          <w:szCs w:val="22"/>
        </w:rPr>
        <w:t xml:space="preserve">	120</w:t>
      </w:r>
    </w:p>
    <w:p>
      <w:pPr>
        <w:tabs>
          <w:tab w:val="right" w:pos="9360" w:leader="dot"/>
        </w:tabs>
        <w:spacing w:after="60" w:before="80" w:line="300"/>
        <w:ind w:left="0"/>
      </w:pPr>
      <w:r>
        <w:rPr>
          <w:b/>
          <w:bCs/>
          <w:sz w:val="23"/>
          <w:szCs w:val="23"/>
        </w:rPr>
        <w:t xml:space="preserve">14. Pruebas</w:t>
      </w:r>
      <w:r>
        <w:rPr>
          <w:sz w:val="22"/>
          <w:szCs w:val="22"/>
        </w:rPr>
        <w:t xml:space="preserve">	121</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121</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121</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122</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122</w:t>
      </w:r>
    </w:p>
    <w:p>
      <w:pPr>
        <w:tabs>
          <w:tab w:val="right" w:pos="9360" w:leader="dot"/>
        </w:tabs>
        <w:spacing w:after="60" w:before="80" w:line="300"/>
        <w:ind w:left="0"/>
      </w:pPr>
      <w:r>
        <w:rPr>
          <w:b/>
          <w:bCs/>
          <w:sz w:val="23"/>
          <w:szCs w:val="23"/>
        </w:rPr>
        <w:t xml:space="preserve">15. Conclusiones</w:t>
      </w:r>
      <w:r>
        <w:rPr>
          <w:sz w:val="22"/>
          <w:szCs w:val="22"/>
        </w:rPr>
        <w:t xml:space="preserve">	124</w:t>
      </w:r>
    </w:p>
    <w:p>
      <w:pPr>
        <w:tabs>
          <w:tab w:val="right" w:pos="9360" w:leader="dot"/>
        </w:tabs>
        <w:spacing w:after="60" w:before="80" w:line="300"/>
        <w:ind w:left="0"/>
      </w:pPr>
      <w:r>
        <w:rPr>
          <w:b/>
          <w:bCs/>
          <w:sz w:val="23"/>
          <w:szCs w:val="23"/>
        </w:rPr>
        <w:t xml:space="preserve">Referencias</w:t>
      </w:r>
      <w:r>
        <w:rPr>
          <w:sz w:val="22"/>
          <w:szCs w:val="22"/>
        </w:rPr>
        <w:t xml:space="preserve">	125</w:t>
      </w:r>
    </w:p>
    <w:p>
      <w:pPr>
        <w:pStyle w:val="Heading1"/>
        <w:pageBreakBefore/>
      </w:pPr>
      <w:r>
        <w:t xml:space="preserve">Resumen</w:t>
      </w:r>
    </w:p>
    <w:p>
      <w:pPr>
        <w:spacing w:after="0" w:line="480"/>
        <w:ind w:firstLine="720"/>
      </w:pPr>
      <w:r>
        <w:t xml:space="preserve">El presente documento describe ServiLift, un sistema de información para gestionar de principio a fin el servicio de inspección técnica de ascensores en organismos de certificación de transporte vertical que trabajan con la NTC 5926-1:2012, desde la cotización hasta la entrega del certificado con código QR, conforme a la NTC 5926-1:2012.</w:t>
      </w:r>
    </w:p>
    <w:p>
      <w:pPr>
        <w:spacing w:after="0" w:line="480"/>
        <w:ind w:firstLine="720"/>
      </w:pPr>
      <w:r>
        <w:t xml:space="preserve">La solución está formada por una aplicación multiplataforma en React Native con Expo, que corre en el celular del inspector y en el navegador del personal de oficina y del cliente; una API REST en FastAPI (Python 3.13) que concentra las reglas del negocio y los permisos de siete roles; y una base de datos MariaDB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del análisis del proceso y la norma,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es un proceso regulado que exige rigurosidad, trazabilidad y cumplimiento normativo para garantizar la seguridad de los usuarios. En los organismos de inspección este proceso se suele llevar con planillas impresas, archivos de Excel independientes y fotografías sueltas tomadas con el celular, lo que dificulta el control de la información, alarga la entrega del informe y limita la calidad y la estandarización del resultado.</w:t>
      </w:r>
    </w:p>
    <w:p>
      <w:pPr>
        <w:spacing w:after="0" w:line="480"/>
        <w:ind w:firstLine="720"/>
      </w:pPr>
      <w:r>
        <w:t xml:space="preserve">ServiLift es un proyecto propio e independiente, dirigido a cualquier organismo de certificación de transporte vertical que aplique la NTC 5926-1. Este documento presenta el sistema ya implementado y probado, que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ascensores, el alcance de este proyecto. Es un servicio obligatorio y regulado en Colombia, porque los ascensores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Cada actor del negocio corresponde a un rol implementado en ServiLift.</w:t>
      </w:r>
    </w:p>
    <w:p>
      <w:pPr>
        <w:pStyle w:val="Heading2"/>
      </w:pPr>
      <w:r>
        <w:t xml:space="preserve">1.3. Marco normativo legal y técnico</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Resolución 0675 de 2013</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obligatoria de ascensores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Motiva el ciclo de inspección periódica y el certificado con vencimiento</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Usuarios objetivo</w:t>
      </w:r>
    </w:p>
    <w:p>
      <w:pPr>
        <w:spacing w:after="0" w:line="480"/>
        <w:ind w:firstLine="720"/>
      </w:pPr>
      <w:r>
        <w:t xml:space="preserve">ServiLift está dirigido a los organismos de certificación de transporte vertical en Colombia que evalúan el cumplimiento de la NTC 5926-1:2012, normalmente acreditados bajo la ISO/IEC 17020:2012, y que trabajan con un equipo de asesores comerciales, programadores de agenda, inspectores, directores técnicos y personal de certificados. No está atado a una empresa en particular: la norma, sus ítems y los datos de la empresa que aparecen en los informes se configuran como datos.</w:t>
      </w:r>
    </w:p>
    <w:p>
      <w:pPr>
        <w:pStyle w:val="Heading2"/>
      </w:pPr>
      <w:r>
        <w:t xml:space="preserve">2.2. Proceso operativo habitual sin un sistema</w:t>
      </w:r>
    </w:p>
    <w:p>
      <w:pPr>
        <w:spacing w:after="0" w:line="480"/>
        <w:ind w:firstLine="720"/>
      </w:pPr>
      <w:r>
        <w:t xml:space="preserve">En un organismo de certificación el servicio suele pasar por cuatro áreas. El </w:t>
      </w:r>
      <w:r>
        <w:rPr>
          <w:b/>
          <w:bCs/>
        </w:rPr>
        <w:t xml:space="preserve">área comercial</w:t>
      </w:r>
      <w:r>
        <w:t xml:space="preserve"> recibe la solicitud, cotiza y envía la propuesta por correo. </w:t>
      </w:r>
      <w:r>
        <w:rPr>
          <w:b/>
          <w:bCs/>
        </w:rPr>
        <w:t xml:space="preserve">Programación</w:t>
      </w:r>
      <w:r>
        <w:t xml:space="preserve"> acuerda la fecha con el cliente y la empresa de mantenimiento y envía el itinerario al inspector. El </w:t>
      </w:r>
      <w:r>
        <w:rPr>
          <w:b/>
          <w:bCs/>
        </w:rPr>
        <w:t xml:space="preserve">inspector</w:t>
      </w:r>
      <w:r>
        <w:t xml:space="preserve"> ejecuta la inspección con la lista de chequeo de la NTC 5926-1, el registro de visita y el informe en hojas de Excel, con fotos sueltas del celular. La </w:t>
      </w:r>
      <w:r>
        <w:rPr>
          <w:b/>
          <w:bCs/>
        </w:rPr>
        <w:t xml:space="preserve">dirección técnica</w:t>
      </w:r>
      <w:r>
        <w:t xml:space="preserve"> revisa el informe, autoriza el certificado y lo publica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a partir del proceso y de la NTC 5926-1.</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un organismo de certificación queda fuera del alcance académico; el sistema se entrega listo para desplegarse con Docker.</w:t>
      </w:r>
    </w:p>
    <w:p>
      <w:pPr>
        <w:pStyle w:val="Heading2"/>
      </w:pPr>
      <w:r>
        <w:t xml:space="preserve">4.2. Alcance funcional implementado</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obtuvieron del análisis del proceso de inspección descrito en el capítulo 2, de la lista de chequeo y las exigencias de la NTC 5926-1:2012, de los requisitos de trazabilidad de la ISO/IEC 17020:2012 y de las condiciones reales del trabajo en campo, como los cuartos de máquinas y fosos sin señal. Cada necesidad se escribió como un requisito funcional, no funcional o una restricción, y se trazó al caso de uso que la atiende.</w:t>
      </w:r>
    </w:p>
    <w:p>
      <w:pPr>
        <w:pStyle w:val="Heading2"/>
      </w:pPr>
      <w:r>
        <w:t xml:space="preserve">5.2. Trazabilidad de los requisitos consolidados</w:t>
      </w:r>
    </w:p>
    <w:p>
      <w:pPr>
        <w:spacing w:after="0" w:line="480"/>
        <w:ind w:firstLine="720"/>
      </w:pPr>
      <w:r>
        <w:t xml:space="preserve">Las tablas siguientes muestran cada requisito consolidado, el caso de uso que lo atiende y su estado en la versión implementada. Los requisitos parciales se explican para que el lector sepa exactamente qué falta.</w:t>
      </w:r>
    </w:p>
    <w:p>
      <w:pPr>
        <w:keepNext/>
        <w:spacing w:before="240"/>
      </w:pPr>
      <w:r>
        <w:rPr>
          <w:b/>
          <w:bCs/>
        </w:rPr>
        <w:t xml:space="preserve">Tabla 4</w:t>
      </w:r>
    </w:p>
    <w:p>
      <w:pPr>
        <w:keepNext/>
        <w:spacing w:after="120"/>
      </w:pPr>
      <w:r>
        <w:rPr>
          <w:i/>
          <w:iCs/>
        </w:rPr>
        <w:t xml:space="preserve">Requisitos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5</w:t>
      </w:r>
    </w:p>
    <w:p>
      <w:pPr>
        <w:keepNext/>
        <w:spacing w:after="120"/>
      </w:pPr>
      <w:r>
        <w:rPr>
          <w:i/>
          <w:iCs/>
        </w:rPr>
        <w:t xml:space="preserve">Requisitos no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6</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9.6.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inactivar o bloquear usuarios internos, y crear el acceso al portal para los usuarios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enviarla se asigna el consecutivo COT-AAAA-NNNN y cada equipo queda PENDIENTE_APROBACION.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la inspección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Director técnico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200"/>
      </w:pP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200"/>
      </w:pP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7</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8</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9</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inactivar o bloquear usuarios internos, y crear el acceso al portal para los usuarios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elige Crear acceso al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INACTIVO, BLOQUEADO)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200"/>
      </w:pP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200"/>
      </w:pP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200"/>
      </w:pP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Instrumentos.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instrumentos con su estado y vencimiento de calibración.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instrumento nuevo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200"/>
      </w:pP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Generar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200"/>
      </w:pP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enviarla se asigna el consecutivo COT-AAAA-NNNN y cada equipo queda PENDIENTE_APROBACION.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deja cada equipo PENDIENTE_APROBACION,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200"/>
      </w:pP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200"/>
      </w:pP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p>
            <w:pPr>
              <w:keepNext w:val="false"/>
              <w:keepLines/>
              <w:spacing w:after="20" w:before="20" w:line="240"/>
              <w:jc w:val="left"/>
            </w:pPr>
            <w:r>
              <w:rPr>
                <w:sz w:val="20"/>
                <w:szCs w:val="20"/>
              </w:rPr>
              <w:t xml:space="preserve">2. La fecha límite de corrección no ha vencido.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y el plazo.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200"/>
      </w:pP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y director técnico.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200"/>
      </w:pP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200"/>
      </w:pP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Mis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200"/>
      </w:pP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200"/>
      </w:pP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visita en el calendario y pulsa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Cancelar visita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200"/>
      </w:pP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791200"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91200"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200"/>
      </w:pP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200"/>
      </w:pP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la galería.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200"/>
      </w:pP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ya registró su firma en el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propone para no firmar cada vez.</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200"/>
      </w:pP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200"/>
      </w:pP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Vista previa.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200"/>
      </w:pP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la inspección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200"/>
      </w:pP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3419475"/>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19475"/>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200"/>
      </w:pP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200"/>
      </w:pP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200"/>
      </w:pP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200"/>
      </w:pP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200"/>
      </w:pP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200"/>
      </w:pP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10</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keepNext/>
        <w:spacing w:before="240"/>
      </w:pPr>
      <w:r>
        <w:rPr>
          <w:b/>
          <w:bCs/>
        </w:rPr>
        <w:t xml:space="preserve">Tabla 11</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12</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13</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14</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15</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16</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17</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18</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19</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20</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21</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22</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base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23</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r>
    </w:tbl>
    <w:p>
      <w:pPr>
        <w:spacing w:after="240" w:before="60" w:line="276"/>
      </w:pPr>
      <w:r>
        <w:rPr>
          <w:i/>
          <w:iCs/>
        </w:rPr>
        <w:t xml:space="preserve">Nota: </w:t>
      </w:r>
      <w:r>
        <w:t xml:space="preserve">C crear, R consultar, U actualizar, D eliminar.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docs/instalacion.md</w:t>
      </w:r>
      <w:r>
        <w:t xml:space="preserve"> y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servilift-backend/tests/integration</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(5 flujos)</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25</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ya es un flujo digital de punta a punta, con trazabilidad en cada cambio de estado y con funcionamiento sin conexión para el inspector, que era la necesidad principal del trabajo en campo.</w:t>
      </w:r>
    </w:p>
    <w:p>
      <w:pPr>
        <w:spacing w:after="0" w:line="480"/>
        <w:ind w:firstLine="720"/>
      </w:pPr>
      <w:r>
        <w:t xml:space="preserve">El paso del diseño inicial a la implementación dejó un modelo de datos más completo (31 tablas frente a las 12 entidades del primer modelo),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891a1c992add839a63ae44c0c90b2a5e2d0b53eb.png"/><Relationship Id="rId10" Type="http://schemas.openxmlformats.org/officeDocument/2006/relationships/image" Target="media/ed107e8450b73aadd3bfa4dbb6042f05106359e6.png"/><Relationship Id="rId11" Type="http://schemas.openxmlformats.org/officeDocument/2006/relationships/image" Target="media/ff43a99ce4be90ce5640145852e808649ab08408.png"/><Relationship Id="rId12" Type="http://schemas.openxmlformats.org/officeDocument/2006/relationships/image" Target="media/c74741f7ee686cb637ea0567335f17c647e445c1.png"/><Relationship Id="rId13" Type="http://schemas.openxmlformats.org/officeDocument/2006/relationships/image" Target="media/88b55b31222eda8bf6606ee26c1cbf46cd5a39a4.png"/><Relationship Id="rId14" Type="http://schemas.openxmlformats.org/officeDocument/2006/relationships/image" Target="media/fdff6ccf113e0a5eb153608f980a39ebfe24ab1d.png"/><Relationship Id="rId15" Type="http://schemas.openxmlformats.org/officeDocument/2006/relationships/image" Target="media/cba3763d27182b8a9fdd994eb32e24bd3e648b6d.png"/><Relationship Id="rId16" Type="http://schemas.openxmlformats.org/officeDocument/2006/relationships/image" Target="media/3ced6a0f037a839c8f5a0a0b6189ec55788ef263.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75babf7203dfeca06b9a7368af4e277c1190b979.png"/><Relationship Id="rId32" Type="http://schemas.openxmlformats.org/officeDocument/2006/relationships/image" Target="media/5dc957c96822c0fcd0f487b5430c69a2c62ea2d1.png"/><Relationship Id="rId33" Type="http://schemas.openxmlformats.org/officeDocument/2006/relationships/image" Target="media/33b916d93f096abf582b39655b2411774b47959b.png"/><Relationship Id="rId34" Type="http://schemas.openxmlformats.org/officeDocument/2006/relationships/image" Target="media/fe8a8ff98cfd849cb9cea7018c8d9072701b33d8.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3911181184b42d73deee502d29af4f964f7b0654.png"/><Relationship Id="rId38" Type="http://schemas.openxmlformats.org/officeDocument/2006/relationships/image" Target="media/b10fffe1bf2813563f53075fcdf1157faa3ccba6.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ServiLift</dc:description>
  <cp:lastModifiedBy>Un-named</cp:lastModifiedBy>
  <cp:revision>1</cp:revision>
  <dcterms:created xsi:type="dcterms:W3CDTF">2026-10-14T03:18:13.585Z</dcterms:created>
  <dcterms:modified xsi:type="dcterms:W3CDTF">2026-10-14T03:18:13.585Z</dcterms:modified>
</cp:coreProperties>
</file>

<file path=docProps/custom.xml><?xml version="1.0" encoding="utf-8"?>
<Properties xmlns="http://schemas.openxmlformats.org/officeDocument/2006/custom-properties" xmlns:vt="http://schemas.openxmlformats.org/officeDocument/2006/docPropsVTypes"/>
</file>