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ServiMapp – Diagramas de Clases (Arquitectura Hexagonal)</w:t>
      </w:r>
    </w:p>
    <w:p>
      <w:r>
        <w:t>Fecha: 26/12/2025</w:t>
      </w:r>
    </w:p>
    <w:p>
      <w:r>
        <w:t>Iteración CD-1 (v1.0). Alcance: auth-service, users-service, providers-service. Formato canónico: Domain + Application (casos de uso + puertos) + Adapters (inbound/outbound).</w:t>
      </w:r>
    </w:p>
    <w:p>
      <w:pPr>
        <w:pStyle w:val="Heading1"/>
      </w:pPr>
      <w:r>
        <w:t>1. auth-service</w:t>
      </w:r>
    </w:p>
    <w:p>
      <w:r>
        <w:t>Incluye librería independiente para firma/verificación de tokens (JwtTokenSignerLib) consumida vía puerto TokenSigner.</w:t>
      </w:r>
    </w:p>
    <w:p>
      <w:r>
        <w:drawing>
          <wp:inline xmlns:a="http://schemas.openxmlformats.org/drawingml/2006/main" xmlns:pic="http://schemas.openxmlformats.org/drawingml/2006/picture">
            <wp:extent cx="6217920" cy="6991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1_auth_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9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users-service</w:t>
      </w:r>
    </w:p>
    <w:p>
      <w:r>
        <w:t>Gestión de perfil base, roles y dispositivos (tokens push) para Android/iOS.</w:t>
      </w:r>
    </w:p>
    <w:p>
      <w:r>
        <w:drawing>
          <wp:inline xmlns:a="http://schemas.openxmlformats.org/drawingml/2006/main" xmlns:pic="http://schemas.openxmlformats.org/drawingml/2006/picture">
            <wp:extent cx="6217920" cy="4531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1_users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providers-service</w:t>
      </w:r>
    </w:p>
    <w:p>
      <w:r>
        <w:t>Gestión de prestadores, servicios ofrecidos, disponibilidad y búsqueda geoespacial (PostGIS) vía puerto de búsqueda.</w:t>
      </w:r>
    </w:p>
    <w:p>
      <w:r>
        <w:drawing>
          <wp:inline xmlns:a="http://schemas.openxmlformats.org/drawingml/2006/main" xmlns:pic="http://schemas.openxmlformats.org/drawingml/2006/picture">
            <wp:extent cx="6217920" cy="4919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1_providers_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19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Notas de estándar (aplicables a todas las iteraciones)</w:t>
      </w:r>
    </w:p>
    <w:p>
      <w:pPr>
        <w:pStyle w:val="ListBullet"/>
      </w:pPr>
      <w:r>
        <w:t>Los Ports son interfaces en Application; los Adapters implementan puertos (línea discontinua).</w:t>
      </w:r>
    </w:p>
    <w:p>
      <w:pPr>
        <w:pStyle w:val="ListBullet"/>
      </w:pPr>
      <w:r>
        <w:t>Los Controllers (Inbound) exponen endpoints; el detalle endpoint-by-endpoint está en los Anexos A1–A15.</w:t>
      </w:r>
    </w:p>
    <w:p>
      <w:pPr>
        <w:pStyle w:val="ListBullet"/>
      </w:pPr>
      <w:r>
        <w:t>Persistencia y mensajería se resuelven como Adapters Outbound (PostgreSQL, Redis, Outbox, proveedores externos).</w:t>
      </w:r>
    </w:p>
    <w:p>
      <w:pPr>
        <w:pStyle w:val="ListBullet"/>
      </w:pPr>
      <w:r>
        <w:t>Los Aggregates protegen invariantes: cambios de estado y validaciones viven en Domain.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