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ServiMapp – Diagramas de Clases (Arquitectura Hexagonal)</w:t>
      </w:r>
    </w:p>
    <w:p>
      <w:r>
        <w:t>Fecha: 26/12/2025</w:t>
      </w:r>
    </w:p>
    <w:p>
      <w:r>
        <w:t>Iteración CD-2R (v1.2). Corrección: diagramas completos (con relaciones) y legibles, alineados al estándar visual de CD-1.</w:t>
      </w:r>
    </w:p>
    <w:p>
      <w:pPr>
        <w:pStyle w:val="Heading1"/>
      </w:pPr>
      <w:r>
        <w:t>1. quotes-service</w:t>
      </w:r>
    </w:p>
    <w:p>
      <w:r>
        <w:drawing>
          <wp:inline xmlns:a="http://schemas.openxmlformats.org/drawingml/2006/main" xmlns:pic="http://schemas.openxmlformats.org/drawingml/2006/picture">
            <wp:extent cx="6309360" cy="5212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R_v1_2_quo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1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payments-service</w:t>
      </w:r>
    </w:p>
    <w:p>
      <w:r>
        <w:drawing>
          <wp:inline xmlns:a="http://schemas.openxmlformats.org/drawingml/2006/main" xmlns:pic="http://schemas.openxmlformats.org/drawingml/2006/picture">
            <wp:extent cx="6309360" cy="5741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R_v1_2_pay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wallet-commissions-service</w:t>
      </w:r>
    </w:p>
    <w:p>
      <w:r>
        <w:drawing>
          <wp:inline xmlns:a="http://schemas.openxmlformats.org/drawingml/2006/main" xmlns:pic="http://schemas.openxmlformats.org/drawingml/2006/picture">
            <wp:extent cx="6309360" cy="4580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R_v1_2_wal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08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