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ServiMapp – Diagramas de Clases (Arquitectura Hexagonal)</w:t>
      </w:r>
    </w:p>
    <w:p>
      <w:r>
        <w:t>Fecha: 26/12/2025</w:t>
      </w:r>
    </w:p>
    <w:p>
      <w:r>
        <w:t>Iteración CD-4 (v1.0). Alcance: ads-service, certificates-service, tracking-service.</w:t>
      </w:r>
    </w:p>
    <w:p>
      <w:pPr>
        <w:pStyle w:val="Heading1"/>
      </w:pPr>
      <w:r>
        <w:t>1. ads-service</w:t>
      </w:r>
    </w:p>
    <w:p>
      <w:r>
        <w:drawing>
          <wp:inline xmlns:a="http://schemas.openxmlformats.org/drawingml/2006/main" xmlns:pic="http://schemas.openxmlformats.org/drawingml/2006/picture">
            <wp:extent cx="6309360" cy="5732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4_a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3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certificates-service</w:t>
      </w:r>
    </w:p>
    <w:p>
      <w:r>
        <w:drawing>
          <wp:inline xmlns:a="http://schemas.openxmlformats.org/drawingml/2006/main" xmlns:pic="http://schemas.openxmlformats.org/drawingml/2006/picture">
            <wp:extent cx="6309360" cy="4415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4_certific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tracking-service</w:t>
      </w:r>
    </w:p>
    <w:p>
      <w:r>
        <w:drawing>
          <wp:inline xmlns:a="http://schemas.openxmlformats.org/drawingml/2006/main" xmlns:pic="http://schemas.openxmlformats.org/drawingml/2006/picture">
            <wp:extent cx="6309360" cy="2549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4_trac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90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