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 – quotes-service (Versión 2)</w:t>
      </w:r>
    </w:p>
    <w:p>
      <w:r>
        <w:t>Esta versión corrige el manejo de identidad. Ningún endpoint recibe userId/clientUserId por body, params o query. La identidad del cliente se deriva exclusivamente del JWT (claim sub), emitido por auth-service y validado mediante token-lib.</w:t>
      </w:r>
    </w:p>
    <w:p>
      <w:pPr>
        <w:pStyle w:val="Heading2"/>
      </w:pPr>
      <w:r>
        <w:t>Reglas No Negociables</w:t>
      </w:r>
    </w:p>
    <w:p>
      <w:r>
        <w:t>- auth-service es el único dueño de la identidad.</w:t>
      </w:r>
    </w:p>
    <w:p>
      <w:r>
        <w:t>- El UUID del usuario se obtiene únicamente desde el JWT (sub).</w:t>
      </w:r>
    </w:p>
    <w:p>
      <w:r>
        <w:t>- Está prohibido recibir clientUserId/userId en los contratos públicos.</w:t>
      </w:r>
    </w:p>
    <w:p>
      <w:r>
        <w:t>- Prefijo obligatorio: /api/quotes.</w:t>
      </w:r>
    </w:p>
    <w:p>
      <w:r>
        <w:t>- JWT Guard obligatorio en todos los endpoints.</w:t>
      </w:r>
    </w:p>
    <w:p>
      <w:pPr>
        <w:pStyle w:val="Heading2"/>
      </w:pPr>
      <w:r>
        <w:t>Contrato: Crear Quote</w:t>
      </w:r>
    </w:p>
    <w:p>
      <w:r>
        <w:t>POST /api/quotes/quotes</w:t>
      </w:r>
    </w:p>
    <w:p>
      <w:r>
        <w:t>Request DTO:</w:t>
      </w:r>
    </w:p>
    <w:p>
      <w:r>
        <w:t>- providerId: uuid</w:t>
        <w:br/>
        <w:t>- serviceId: uuid</w:t>
        <w:br/>
        <w:t>- description: string</w:t>
        <w:br/>
        <w:t>- location?: json</w:t>
        <w:br/>
        <w:t>- preferredTime?: timestamptz</w:t>
      </w:r>
    </w:p>
    <w:p>
      <w:r>
        <w:t>Nota: clientUserId se obtiene del JWT (sub). Si el request incluye campos de identidad, la API debe responder 400/422.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