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1F4D78"/>
          <w:sz w:val="48"/>
        </w:rPr>
        <w:t>NUERS Live API Transaction Test Report</w:t>
      </w:r>
    </w:p>
    <w:p>
      <w:pPr>
        <w:spacing w:after="280"/>
      </w:pPr>
      <w:r>
        <w:rPr>
          <w:rFonts w:ascii="Calibri" w:hAnsi="Calibri"/>
          <w:color w:val="4B5563"/>
          <w:sz w:val="22"/>
        </w:rPr>
        <w:t>Successful production API insertion and verification for the Business Account integration endpoint</w:t>
      </w:r>
    </w:p>
    <w:tbl>
      <w:tblPr>
        <w:tblW w:type="auto" w:w="0"/>
        <w:tblLayout w:type="fixed"/>
        <w:tblLook w:firstColumn="1" w:firstRow="1" w:lastColumn="0" w:lastRow="0" w:noHBand="0" w:noVBand="1" w:val="04A0"/>
      </w:tblPr>
      <w:tblGrid>
        <w:gridCol w:w="4680"/>
        <w:gridCol w:w="4680"/>
      </w:tblGrid>
      <w:tr>
        <w:tc>
          <w:tcPr>
            <w:tcW w:type="dxa" w:w="2448"/>
            <w:vAlign w:val="center"/>
            <w:tcBorders>
              <w:top w:val="single" w:sz="4" w:space="0" w:color="DADCE0"/>
              <w:left w:val="single" w:sz="4" w:space="0" w:color="DADCE0"/>
              <w:bottom w:val="single" w:sz="4" w:space="0" w:color="DADCE0"/>
              <w:right w:val="single" w:sz="4" w:space="0" w:color="DADCE0"/>
            </w:tcBorders>
            <w:shd w:fill="E8EEF5"/>
          </w:tcPr>
          <w:p>
            <w:pPr>
              <w:spacing w:after="0" w:line="259" w:lineRule="auto"/>
            </w:pPr>
            <w:r/>
            <w:r>
              <w:rPr>
                <w:rFonts w:ascii="Calibri" w:hAnsi="Calibri"/>
                <w:b/>
                <w:color w:val="1F4D78"/>
                <w:sz w:val="18"/>
              </w:rPr>
              <w:t>Live site</w:t>
            </w:r>
          </w:p>
        </w:tc>
        <w:tc>
          <w:tcPr>
            <w:tcW w:type="dxa" w:w="6912"/>
            <w:vAlign w:val="center"/>
            <w:tcBorders>
              <w:top w:val="single" w:sz="4" w:space="0" w:color="DADCE0"/>
              <w:left w:val="single" w:sz="4" w:space="0" w:color="DADCE0"/>
              <w:bottom w:val="single" w:sz="4" w:space="0" w:color="DADCE0"/>
              <w:right w:val="single" w:sz="4" w:space="0" w:color="DADCE0"/>
            </w:tcBorders>
          </w:tcPr>
          <w:p>
            <w:pPr>
              <w:spacing w:after="0" w:line="259" w:lineRule="auto"/>
            </w:pPr>
            <w:r/>
            <w:r>
              <w:rPr>
                <w:rFonts w:ascii="Calibri" w:hAnsi="Calibri"/>
                <w:b w:val="0"/>
                <w:color w:val="111827"/>
                <w:sz w:val="18"/>
              </w:rPr>
              <w:t>https://nuers.net</w:t>
            </w:r>
          </w:p>
        </w:tc>
      </w:tr>
      <w:tr>
        <w:tc>
          <w:tcPr>
            <w:tcW w:type="dxa" w:w="2448"/>
            <w:vAlign w:val="center"/>
            <w:tcBorders>
              <w:top w:val="single" w:sz="4" w:space="0" w:color="DADCE0"/>
              <w:left w:val="single" w:sz="4" w:space="0" w:color="DADCE0"/>
              <w:bottom w:val="single" w:sz="4" w:space="0" w:color="DADCE0"/>
              <w:right w:val="single" w:sz="4" w:space="0" w:color="DADCE0"/>
            </w:tcBorders>
            <w:shd w:fill="E8EEF5"/>
          </w:tcPr>
          <w:p>
            <w:pPr>
              <w:spacing w:after="0" w:line="259" w:lineRule="auto"/>
            </w:pPr>
            <w:r/>
            <w:r>
              <w:rPr>
                <w:rFonts w:ascii="Calibri" w:hAnsi="Calibri"/>
                <w:b/>
                <w:color w:val="1F4D78"/>
                <w:sz w:val="18"/>
              </w:rPr>
              <w:t>API endpoint tested</w:t>
            </w:r>
          </w:p>
        </w:tc>
        <w:tc>
          <w:tcPr>
            <w:tcW w:type="dxa" w:w="6912"/>
            <w:vAlign w:val="center"/>
            <w:tcBorders>
              <w:top w:val="single" w:sz="4" w:space="0" w:color="DADCE0"/>
              <w:left w:val="single" w:sz="4" w:space="0" w:color="DADCE0"/>
              <w:bottom w:val="single" w:sz="4" w:space="0" w:color="DADCE0"/>
              <w:right w:val="single" w:sz="4" w:space="0" w:color="DADCE0"/>
            </w:tcBorders>
          </w:tcPr>
          <w:p>
            <w:pPr>
              <w:spacing w:after="0" w:line="259" w:lineRule="auto"/>
            </w:pPr>
            <w:r/>
            <w:r>
              <w:rPr>
                <w:rFonts w:ascii="Calibri" w:hAnsi="Calibri"/>
                <w:b w:val="0"/>
                <w:color w:val="111827"/>
                <w:sz w:val="18"/>
              </w:rPr>
              <w:t>POST https://nuers.net/public/api/integrations/transactions</w:t>
            </w:r>
          </w:p>
        </w:tc>
      </w:tr>
      <w:tr>
        <w:tc>
          <w:tcPr>
            <w:tcW w:type="dxa" w:w="2448"/>
            <w:vAlign w:val="center"/>
            <w:tcBorders>
              <w:top w:val="single" w:sz="4" w:space="0" w:color="DADCE0"/>
              <w:left w:val="single" w:sz="4" w:space="0" w:color="DADCE0"/>
              <w:bottom w:val="single" w:sz="4" w:space="0" w:color="DADCE0"/>
              <w:right w:val="single" w:sz="4" w:space="0" w:color="DADCE0"/>
            </w:tcBorders>
            <w:shd w:fill="E8EEF5"/>
          </w:tcPr>
          <w:p>
            <w:pPr>
              <w:spacing w:after="0" w:line="259" w:lineRule="auto"/>
            </w:pPr>
            <w:r/>
            <w:r>
              <w:rPr>
                <w:rFonts w:ascii="Calibri" w:hAnsi="Calibri"/>
                <w:b/>
                <w:color w:val="1F4D78"/>
                <w:sz w:val="18"/>
              </w:rPr>
              <w:t>Business Account</w:t>
            </w:r>
          </w:p>
        </w:tc>
        <w:tc>
          <w:tcPr>
            <w:tcW w:type="dxa" w:w="6912"/>
            <w:vAlign w:val="center"/>
            <w:tcBorders>
              <w:top w:val="single" w:sz="4" w:space="0" w:color="DADCE0"/>
              <w:left w:val="single" w:sz="4" w:space="0" w:color="DADCE0"/>
              <w:bottom w:val="single" w:sz="4" w:space="0" w:color="DADCE0"/>
              <w:right w:val="single" w:sz="4" w:space="0" w:color="DADCE0"/>
            </w:tcBorders>
          </w:tcPr>
          <w:p>
            <w:pPr>
              <w:spacing w:after="0" w:line="259" w:lineRule="auto"/>
            </w:pPr>
            <w:r/>
            <w:r>
              <w:rPr>
                <w:rFonts w:ascii="Calibri" w:hAnsi="Calibri"/>
                <w:b w:val="0"/>
                <w:color w:val="111827"/>
                <w:sz w:val="18"/>
              </w:rPr>
              <w:t>Servxbit I.T Solutions</w:t>
            </w:r>
          </w:p>
        </w:tc>
      </w:tr>
      <w:tr>
        <w:tc>
          <w:tcPr>
            <w:tcW w:type="dxa" w:w="2448"/>
            <w:vAlign w:val="center"/>
            <w:tcBorders>
              <w:top w:val="single" w:sz="4" w:space="0" w:color="DADCE0"/>
              <w:left w:val="single" w:sz="4" w:space="0" w:color="DADCE0"/>
              <w:bottom w:val="single" w:sz="4" w:space="0" w:color="DADCE0"/>
              <w:right w:val="single" w:sz="4" w:space="0" w:color="DADCE0"/>
            </w:tcBorders>
            <w:shd w:fill="E8EEF5"/>
          </w:tcPr>
          <w:p>
            <w:pPr>
              <w:spacing w:after="0" w:line="259" w:lineRule="auto"/>
            </w:pPr>
            <w:r/>
            <w:r>
              <w:rPr>
                <w:rFonts w:ascii="Calibri" w:hAnsi="Calibri"/>
                <w:b/>
                <w:color w:val="1F4D78"/>
                <w:sz w:val="18"/>
              </w:rPr>
              <w:t>Test date</w:t>
            </w:r>
          </w:p>
        </w:tc>
        <w:tc>
          <w:tcPr>
            <w:tcW w:type="dxa" w:w="6912"/>
            <w:vAlign w:val="center"/>
            <w:tcBorders>
              <w:top w:val="single" w:sz="4" w:space="0" w:color="DADCE0"/>
              <w:left w:val="single" w:sz="4" w:space="0" w:color="DADCE0"/>
              <w:bottom w:val="single" w:sz="4" w:space="0" w:color="DADCE0"/>
              <w:right w:val="single" w:sz="4" w:space="0" w:color="DADCE0"/>
            </w:tcBorders>
          </w:tcPr>
          <w:p>
            <w:pPr>
              <w:spacing w:after="0" w:line="259" w:lineRule="auto"/>
            </w:pPr>
            <w:r/>
            <w:r>
              <w:rPr>
                <w:rFonts w:ascii="Calibri" w:hAnsi="Calibri"/>
                <w:b w:val="0"/>
                <w:color w:val="111827"/>
                <w:sz w:val="18"/>
              </w:rPr>
              <w:t>June 3, 2026, Asia/Manila</w:t>
            </w:r>
          </w:p>
        </w:tc>
      </w:tr>
      <w:tr>
        <w:tc>
          <w:tcPr>
            <w:tcW w:type="dxa" w:w="2448"/>
            <w:vAlign w:val="center"/>
            <w:tcBorders>
              <w:top w:val="single" w:sz="4" w:space="0" w:color="DADCE0"/>
              <w:left w:val="single" w:sz="4" w:space="0" w:color="DADCE0"/>
              <w:bottom w:val="single" w:sz="4" w:space="0" w:color="DADCE0"/>
              <w:right w:val="single" w:sz="4" w:space="0" w:color="DADCE0"/>
            </w:tcBorders>
            <w:shd w:fill="E8EEF5"/>
          </w:tcPr>
          <w:p>
            <w:pPr>
              <w:spacing w:after="0" w:line="259" w:lineRule="auto"/>
            </w:pPr>
            <w:r/>
            <w:r>
              <w:rPr>
                <w:rFonts w:ascii="Calibri" w:hAnsi="Calibri"/>
                <w:b/>
                <w:color w:val="1F4D78"/>
                <w:sz w:val="18"/>
              </w:rPr>
              <w:t>Prepared by</w:t>
            </w:r>
          </w:p>
        </w:tc>
        <w:tc>
          <w:tcPr>
            <w:tcW w:type="dxa" w:w="6912"/>
            <w:vAlign w:val="center"/>
            <w:tcBorders>
              <w:top w:val="single" w:sz="4" w:space="0" w:color="DADCE0"/>
              <w:left w:val="single" w:sz="4" w:space="0" w:color="DADCE0"/>
              <w:bottom w:val="single" w:sz="4" w:space="0" w:color="DADCE0"/>
              <w:right w:val="single" w:sz="4" w:space="0" w:color="DADCE0"/>
            </w:tcBorders>
          </w:tcPr>
          <w:p>
            <w:pPr>
              <w:spacing w:after="0" w:line="259" w:lineRule="auto"/>
            </w:pPr>
            <w:r/>
            <w:r>
              <w:rPr>
                <w:rFonts w:ascii="Calibri" w:hAnsi="Calibri"/>
                <w:b w:val="0"/>
                <w:color w:val="111827"/>
                <w:sz w:val="18"/>
              </w:rPr>
              <w:t>Codex API test run</w:t>
            </w:r>
          </w:p>
        </w:tc>
      </w:tr>
      <w:tr>
        <w:tc>
          <w:tcPr>
            <w:tcW w:type="dxa" w:w="2448"/>
            <w:vAlign w:val="center"/>
            <w:tcBorders>
              <w:top w:val="single" w:sz="4" w:space="0" w:color="DADCE0"/>
              <w:left w:val="single" w:sz="4" w:space="0" w:color="DADCE0"/>
              <w:bottom w:val="single" w:sz="4" w:space="0" w:color="DADCE0"/>
              <w:right w:val="single" w:sz="4" w:space="0" w:color="DADCE0"/>
            </w:tcBorders>
            <w:shd w:fill="E8EEF5"/>
          </w:tcPr>
          <w:p>
            <w:pPr>
              <w:spacing w:after="0" w:line="259" w:lineRule="auto"/>
            </w:pPr>
            <w:r/>
            <w:r>
              <w:rPr>
                <w:rFonts w:ascii="Calibri" w:hAnsi="Calibri"/>
                <w:b/>
                <w:color w:val="1F4D78"/>
                <w:sz w:val="18"/>
              </w:rPr>
              <w:t>Security note</w:t>
            </w:r>
          </w:p>
        </w:tc>
        <w:tc>
          <w:tcPr>
            <w:tcW w:type="dxa" w:w="6912"/>
            <w:vAlign w:val="center"/>
            <w:tcBorders>
              <w:top w:val="single" w:sz="4" w:space="0" w:color="DADCE0"/>
              <w:left w:val="single" w:sz="4" w:space="0" w:color="DADCE0"/>
              <w:bottom w:val="single" w:sz="4" w:space="0" w:color="DADCE0"/>
              <w:right w:val="single" w:sz="4" w:space="0" w:color="DADCE0"/>
            </w:tcBorders>
          </w:tcPr>
          <w:p>
            <w:pPr>
              <w:spacing w:after="0" w:line="259" w:lineRule="auto"/>
            </w:pPr>
            <w:r/>
            <w:r>
              <w:rPr>
                <w:rFonts w:ascii="Calibri" w:hAnsi="Calibri"/>
                <w:b w:val="0"/>
                <w:color w:val="111827"/>
                <w:sz w:val="18"/>
              </w:rPr>
              <w:t>No API secret, bearer token, or password is included in this report.</w:t>
            </w:r>
          </w:p>
        </w:tc>
      </w:tr>
    </w:tbl>
    <w:tbl>
      <w:tblPr>
        <w:tblW w:type="auto" w:w="0"/>
        <w:tblLayout w:type="fixed"/>
        <w:tblLook w:firstColumn="1" w:firstRow="1" w:lastColumn="0" w:lastRow="0" w:noHBand="0" w:noVBand="1" w:val="04A0"/>
      </w:tblPr>
      <w:tblGrid>
        <w:gridCol w:w="9360"/>
      </w:tblGrid>
      <w:tr>
        <w:tc>
          <w:tcPr>
            <w:tcW w:type="dxa" w:w="9360"/>
            <w:vAlign w:val="center"/>
            <w:tcBorders>
              <w:top w:val="single" w:sz="4" w:space="0" w:color="DADCE0"/>
              <w:left w:val="single" w:sz="4" w:space="0" w:color="DADCE0"/>
              <w:bottom w:val="single" w:sz="4" w:space="0" w:color="DADCE0"/>
              <w:right w:val="single" w:sz="4" w:space="0" w:color="DADCE0"/>
            </w:tcBorders>
            <w:shd w:fill="EEF7EE"/>
          </w:tcPr>
          <w:p>
            <w:pPr>
              <w:spacing w:after="80"/>
            </w:pPr>
            <w:r>
              <w:rPr>
                <w:rFonts w:ascii="Calibri" w:hAnsi="Calibri"/>
                <w:b/>
                <w:color w:val="1F4D78"/>
                <w:sz w:val="20"/>
              </w:rPr>
              <w:t>Executive result</w:t>
            </w:r>
            <w:r>
              <w:br/>
            </w:r>
            <w:r>
              <w:rPr>
                <w:rFonts w:ascii="Calibri" w:hAnsi="Calibri"/>
                <w:color w:val="111827"/>
                <w:sz w:val="18"/>
              </w:rPr>
              <w:t>The live NUERS transaction API accepted a marked production test transaction with HTTP 201. The inserted transaction and generated receipt were both verified through the live merchant APIs. The temporary API key created for the test was revoked and confirmed inactive.</w:t>
            </w:r>
          </w:p>
        </w:tc>
      </w:tr>
    </w:tbl>
    <w:p>
      <w:pPr>
        <w:spacing w:after="40"/>
      </w:pPr>
    </w:p>
    <w:p>
      <w:pPr>
        <w:pStyle w:val="Heading1"/>
      </w:pPr>
      <w:r>
        <w:rPr>
          <w:b/>
        </w:rPr>
        <w:t>1. Test Scope</w:t>
      </w:r>
    </w:p>
    <w:p>
      <w:pPr>
        <w:spacing w:after="120" w:line="264" w:lineRule="auto"/>
      </w:pPr>
      <w:r>
        <w:t>The test validated that a Business Account API key with the transactions:write scope can insert a live transaction through the NUERS integration endpoint, and that the resulting transaction and receipt appear through the authenticated merchant APIs.</w:t>
      </w:r>
    </w:p>
    <w:p>
      <w:pPr>
        <w:spacing w:after="120" w:line="264" w:lineRule="auto"/>
      </w:pPr>
      <w:r>
        <w:t>This was a production test. The record is intentionally marked so it can be found, excluded from analysis, or removed later if required.</w:t>
      </w:r>
    </w:p>
    <w:p>
      <w:pPr>
        <w:pStyle w:val="Heading1"/>
      </w:pPr>
      <w:r>
        <w:rPr>
          <w:b/>
        </w:rPr>
        <w:t>2. API Contract Used</w:t>
      </w:r>
    </w:p>
    <w:tbl>
      <w:tblPr>
        <w:tblW w:type="auto" w:w="0"/>
        <w:tblLayout w:type="fixed"/>
        <w:tblLook w:firstColumn="1" w:firstRow="1" w:lastColumn="0" w:lastRow="0" w:noHBand="0" w:noVBand="1" w:val="04A0"/>
      </w:tblPr>
      <w:tblGrid>
        <w:gridCol w:w="4680"/>
        <w:gridCol w:w="4680"/>
      </w:tblGrid>
      <w:tr>
        <w:tc>
          <w:tcPr>
            <w:tcW w:type="dxa" w:w="2448"/>
            <w:vAlign w:val="center"/>
            <w:tcBorders>
              <w:top w:val="single" w:sz="4" w:space="0" w:color="DADCE0"/>
              <w:left w:val="single" w:sz="4" w:space="0" w:color="DADCE0"/>
              <w:bottom w:val="single" w:sz="4" w:space="0" w:color="DADCE0"/>
              <w:right w:val="single" w:sz="4" w:space="0" w:color="DADCE0"/>
            </w:tcBorders>
            <w:shd w:fill="E8EEF5"/>
          </w:tcPr>
          <w:p>
            <w:pPr>
              <w:spacing w:after="0" w:line="259" w:lineRule="auto"/>
            </w:pPr>
            <w:r/>
            <w:r>
              <w:rPr>
                <w:rFonts w:ascii="Calibri" w:hAnsi="Calibri"/>
                <w:b/>
                <w:color w:val="1F4D78"/>
                <w:sz w:val="18"/>
              </w:rPr>
              <w:t>Method</w:t>
            </w:r>
          </w:p>
        </w:tc>
        <w:tc>
          <w:tcPr>
            <w:tcW w:type="dxa" w:w="6912"/>
            <w:vAlign w:val="center"/>
            <w:tcBorders>
              <w:top w:val="single" w:sz="4" w:space="0" w:color="DADCE0"/>
              <w:left w:val="single" w:sz="4" w:space="0" w:color="DADCE0"/>
              <w:bottom w:val="single" w:sz="4" w:space="0" w:color="DADCE0"/>
              <w:right w:val="single" w:sz="4" w:space="0" w:color="DADCE0"/>
            </w:tcBorders>
          </w:tcPr>
          <w:p>
            <w:pPr>
              <w:spacing w:after="0" w:line="259" w:lineRule="auto"/>
            </w:pPr>
            <w:r/>
            <w:r>
              <w:rPr>
                <w:rFonts w:ascii="Calibri" w:hAnsi="Calibri"/>
                <w:b w:val="0"/>
                <w:color w:val="111827"/>
                <w:sz w:val="18"/>
              </w:rPr>
              <w:t>POST</w:t>
            </w:r>
          </w:p>
        </w:tc>
      </w:tr>
      <w:tr>
        <w:tc>
          <w:tcPr>
            <w:tcW w:type="dxa" w:w="2448"/>
            <w:vAlign w:val="center"/>
            <w:tcBorders>
              <w:top w:val="single" w:sz="4" w:space="0" w:color="DADCE0"/>
              <w:left w:val="single" w:sz="4" w:space="0" w:color="DADCE0"/>
              <w:bottom w:val="single" w:sz="4" w:space="0" w:color="DADCE0"/>
              <w:right w:val="single" w:sz="4" w:space="0" w:color="DADCE0"/>
            </w:tcBorders>
            <w:shd w:fill="E8EEF5"/>
          </w:tcPr>
          <w:p>
            <w:pPr>
              <w:spacing w:after="0" w:line="259" w:lineRule="auto"/>
            </w:pPr>
            <w:r/>
            <w:r>
              <w:rPr>
                <w:rFonts w:ascii="Calibri" w:hAnsi="Calibri"/>
                <w:b/>
                <w:color w:val="1F4D78"/>
                <w:sz w:val="18"/>
              </w:rPr>
              <w:t>URL</w:t>
            </w:r>
          </w:p>
        </w:tc>
        <w:tc>
          <w:tcPr>
            <w:tcW w:type="dxa" w:w="6912"/>
            <w:vAlign w:val="center"/>
            <w:tcBorders>
              <w:top w:val="single" w:sz="4" w:space="0" w:color="DADCE0"/>
              <w:left w:val="single" w:sz="4" w:space="0" w:color="DADCE0"/>
              <w:bottom w:val="single" w:sz="4" w:space="0" w:color="DADCE0"/>
              <w:right w:val="single" w:sz="4" w:space="0" w:color="DADCE0"/>
            </w:tcBorders>
          </w:tcPr>
          <w:p>
            <w:pPr>
              <w:spacing w:after="0" w:line="259" w:lineRule="auto"/>
            </w:pPr>
            <w:r/>
            <w:r>
              <w:rPr>
                <w:rFonts w:ascii="Calibri" w:hAnsi="Calibri"/>
                <w:b w:val="0"/>
                <w:color w:val="111827"/>
                <w:sz w:val="18"/>
              </w:rPr>
              <w:t>https://nuers.net/public/api/integrations/transactions</w:t>
            </w:r>
          </w:p>
        </w:tc>
      </w:tr>
      <w:tr>
        <w:tc>
          <w:tcPr>
            <w:tcW w:type="dxa" w:w="2448"/>
            <w:vAlign w:val="center"/>
            <w:tcBorders>
              <w:top w:val="single" w:sz="4" w:space="0" w:color="DADCE0"/>
              <w:left w:val="single" w:sz="4" w:space="0" w:color="DADCE0"/>
              <w:bottom w:val="single" w:sz="4" w:space="0" w:color="DADCE0"/>
              <w:right w:val="single" w:sz="4" w:space="0" w:color="DADCE0"/>
            </w:tcBorders>
            <w:shd w:fill="E8EEF5"/>
          </w:tcPr>
          <w:p>
            <w:pPr>
              <w:spacing w:after="0" w:line="259" w:lineRule="auto"/>
            </w:pPr>
            <w:r/>
            <w:r>
              <w:rPr>
                <w:rFonts w:ascii="Calibri" w:hAnsi="Calibri"/>
                <w:b/>
                <w:color w:val="1F4D78"/>
                <w:sz w:val="18"/>
              </w:rPr>
              <w:t>Authentication</w:t>
            </w:r>
          </w:p>
        </w:tc>
        <w:tc>
          <w:tcPr>
            <w:tcW w:type="dxa" w:w="6912"/>
            <w:vAlign w:val="center"/>
            <w:tcBorders>
              <w:top w:val="single" w:sz="4" w:space="0" w:color="DADCE0"/>
              <w:left w:val="single" w:sz="4" w:space="0" w:color="DADCE0"/>
              <w:bottom w:val="single" w:sz="4" w:space="0" w:color="DADCE0"/>
              <w:right w:val="single" w:sz="4" w:space="0" w:color="DADCE0"/>
            </w:tcBorders>
          </w:tcPr>
          <w:p>
            <w:pPr>
              <w:spacing w:after="0" w:line="259" w:lineRule="auto"/>
            </w:pPr>
            <w:r/>
            <w:r>
              <w:rPr>
                <w:rFonts w:ascii="Calibri" w:hAnsi="Calibri"/>
                <w:b w:val="0"/>
                <w:color w:val="111827"/>
                <w:sz w:val="18"/>
              </w:rPr>
              <w:t>X-NUERS-API-Key header</w:t>
            </w:r>
          </w:p>
        </w:tc>
      </w:tr>
      <w:tr>
        <w:tc>
          <w:tcPr>
            <w:tcW w:type="dxa" w:w="2448"/>
            <w:vAlign w:val="center"/>
            <w:tcBorders>
              <w:top w:val="single" w:sz="4" w:space="0" w:color="DADCE0"/>
              <w:left w:val="single" w:sz="4" w:space="0" w:color="DADCE0"/>
              <w:bottom w:val="single" w:sz="4" w:space="0" w:color="DADCE0"/>
              <w:right w:val="single" w:sz="4" w:space="0" w:color="DADCE0"/>
            </w:tcBorders>
            <w:shd w:fill="E8EEF5"/>
          </w:tcPr>
          <w:p>
            <w:pPr>
              <w:spacing w:after="0" w:line="259" w:lineRule="auto"/>
            </w:pPr>
            <w:r/>
            <w:r>
              <w:rPr>
                <w:rFonts w:ascii="Calibri" w:hAnsi="Calibri"/>
                <w:b/>
                <w:color w:val="1F4D78"/>
                <w:sz w:val="18"/>
              </w:rPr>
              <w:t>Required fields used</w:t>
            </w:r>
          </w:p>
        </w:tc>
        <w:tc>
          <w:tcPr>
            <w:tcW w:type="dxa" w:w="6912"/>
            <w:vAlign w:val="center"/>
            <w:tcBorders>
              <w:top w:val="single" w:sz="4" w:space="0" w:color="DADCE0"/>
              <w:left w:val="single" w:sz="4" w:space="0" w:color="DADCE0"/>
              <w:bottom w:val="single" w:sz="4" w:space="0" w:color="DADCE0"/>
              <w:right w:val="single" w:sz="4" w:space="0" w:color="DADCE0"/>
            </w:tcBorders>
          </w:tcPr>
          <w:p>
            <w:pPr>
              <w:spacing w:after="0" w:line="259" w:lineRule="auto"/>
            </w:pPr>
            <w:r/>
            <w:r>
              <w:rPr>
                <w:rFonts w:ascii="Calibri" w:hAnsi="Calibri"/>
                <w:b w:val="0"/>
                <w:color w:val="111827"/>
                <w:sz w:val="18"/>
              </w:rPr>
              <w:t>external_reference, gross_amount, tax_type</w:t>
            </w:r>
          </w:p>
        </w:tc>
      </w:tr>
      <w:tr>
        <w:tc>
          <w:tcPr>
            <w:tcW w:type="dxa" w:w="2448"/>
            <w:vAlign w:val="center"/>
            <w:tcBorders>
              <w:top w:val="single" w:sz="4" w:space="0" w:color="DADCE0"/>
              <w:left w:val="single" w:sz="4" w:space="0" w:color="DADCE0"/>
              <w:bottom w:val="single" w:sz="4" w:space="0" w:color="DADCE0"/>
              <w:right w:val="single" w:sz="4" w:space="0" w:color="DADCE0"/>
            </w:tcBorders>
            <w:shd w:fill="E8EEF5"/>
          </w:tcPr>
          <w:p>
            <w:pPr>
              <w:spacing w:after="0" w:line="259" w:lineRule="auto"/>
            </w:pPr>
            <w:r/>
            <w:r>
              <w:rPr>
                <w:rFonts w:ascii="Calibri" w:hAnsi="Calibri"/>
                <w:b/>
                <w:color w:val="1F4D78"/>
                <w:sz w:val="18"/>
              </w:rPr>
              <w:t>Tax setup</w:t>
            </w:r>
          </w:p>
        </w:tc>
        <w:tc>
          <w:tcPr>
            <w:tcW w:type="dxa" w:w="6912"/>
            <w:vAlign w:val="center"/>
            <w:tcBorders>
              <w:top w:val="single" w:sz="4" w:space="0" w:color="DADCE0"/>
              <w:left w:val="single" w:sz="4" w:space="0" w:color="DADCE0"/>
              <w:bottom w:val="single" w:sz="4" w:space="0" w:color="DADCE0"/>
              <w:right w:val="single" w:sz="4" w:space="0" w:color="DADCE0"/>
            </w:tcBorders>
          </w:tcPr>
          <w:p>
            <w:pPr>
              <w:spacing w:after="0" w:line="259" w:lineRule="auto"/>
            </w:pPr>
            <w:r/>
            <w:r>
              <w:rPr>
                <w:rFonts w:ascii="Calibri" w:hAnsi="Calibri"/>
                <w:b w:val="0"/>
                <w:color w:val="111827"/>
                <w:sz w:val="18"/>
              </w:rPr>
              <w:t>vatable, 12 percent VAT rate, VAT inclusive</w:t>
            </w:r>
          </w:p>
        </w:tc>
      </w:tr>
      <w:tr>
        <w:tc>
          <w:tcPr>
            <w:tcW w:type="dxa" w:w="2448"/>
            <w:vAlign w:val="center"/>
            <w:tcBorders>
              <w:top w:val="single" w:sz="4" w:space="0" w:color="DADCE0"/>
              <w:left w:val="single" w:sz="4" w:space="0" w:color="DADCE0"/>
              <w:bottom w:val="single" w:sz="4" w:space="0" w:color="DADCE0"/>
              <w:right w:val="single" w:sz="4" w:space="0" w:color="DADCE0"/>
            </w:tcBorders>
            <w:shd w:fill="E8EEF5"/>
          </w:tcPr>
          <w:p>
            <w:pPr>
              <w:spacing w:after="0" w:line="259" w:lineRule="auto"/>
            </w:pPr>
            <w:r/>
            <w:r>
              <w:rPr>
                <w:rFonts w:ascii="Calibri" w:hAnsi="Calibri"/>
                <w:b/>
                <w:color w:val="1F4D78"/>
                <w:sz w:val="18"/>
              </w:rPr>
              <w:t>Temporary key handling</w:t>
            </w:r>
          </w:p>
        </w:tc>
        <w:tc>
          <w:tcPr>
            <w:tcW w:type="dxa" w:w="6912"/>
            <w:vAlign w:val="center"/>
            <w:tcBorders>
              <w:top w:val="single" w:sz="4" w:space="0" w:color="DADCE0"/>
              <w:left w:val="single" w:sz="4" w:space="0" w:color="DADCE0"/>
              <w:bottom w:val="single" w:sz="4" w:space="0" w:color="DADCE0"/>
              <w:right w:val="single" w:sz="4" w:space="0" w:color="DADCE0"/>
            </w:tcBorders>
          </w:tcPr>
          <w:p>
            <w:pPr>
              <w:spacing w:after="0" w:line="259" w:lineRule="auto"/>
            </w:pPr>
            <w:r/>
            <w:r>
              <w:rPr>
                <w:rFonts w:ascii="Calibri" w:hAnsi="Calibri"/>
                <w:b w:val="0"/>
                <w:color w:val="111827"/>
                <w:sz w:val="18"/>
              </w:rPr>
              <w:t>Created for the test, used once, then revoked.</w:t>
            </w:r>
          </w:p>
        </w:tc>
      </w:tr>
    </w:tbl>
    <w:p>
      <w:pPr>
        <w:pStyle w:val="Heading1"/>
      </w:pPr>
      <w:r>
        <w:rPr>
          <w:b/>
        </w:rPr>
        <w:t>3. Submitted Payload</w:t>
      </w:r>
    </w:p>
    <w:p>
      <w:pPr>
        <w:spacing w:after="120" w:line="264" w:lineRule="auto"/>
      </w:pPr>
      <w:r>
        <w:t>The following payload was submitted. The API key itself is intentionally omitted.</w:t>
      </w:r>
    </w:p>
    <w:tbl>
      <w:tblPr>
        <w:tblW w:type="auto" w:w="0"/>
        <w:tblLayout w:type="fixed"/>
        <w:tblLook w:firstColumn="1" w:firstRow="1" w:lastColumn="0" w:lastRow="0" w:noHBand="0" w:noVBand="1" w:val="04A0"/>
      </w:tblPr>
      <w:tblGrid>
        <w:gridCol w:w="9360"/>
      </w:tblGrid>
      <w:tr>
        <w:tc>
          <w:tcPr>
            <w:tcW w:type="dxa" w:w="9360"/>
            <w:vAlign w:val="center"/>
            <w:tcBorders>
              <w:top w:val="single" w:sz="4" w:space="0" w:color="DADCE0"/>
              <w:left w:val="single" w:sz="4" w:space="0" w:color="DADCE0"/>
              <w:bottom w:val="single" w:sz="4" w:space="0" w:color="DADCE0"/>
              <w:right w:val="single" w:sz="4" w:space="0" w:color="DADCE0"/>
            </w:tcBorders>
            <w:shd w:fill="F8FAFC"/>
          </w:tcPr>
          <w:p>
            <w:pPr>
              <w:spacing w:after="0" w:line="240" w:lineRule="auto"/>
            </w:pPr>
            <w:r>
              <w:rPr>
                <w:rFonts w:ascii="Courier New" w:hAnsi="Courier New"/>
                <w:color w:val="111827"/>
                <w:sz w:val="17"/>
              </w:rPr>
              <w:t>{</w:t>
              <w:br/>
              <w:t xml:space="preserve">  "external_reference": "CODEX-LIVE-API-TEST-B21DF9A8",</w:t>
              <w:br/>
              <w:t xml:space="preserve">  "source_system": "codex_live_api_test",</w:t>
              <w:br/>
              <w:t xml:space="preserve">  "channel": "api_test",</w:t>
              <w:br/>
              <w:t xml:space="preserve">  "transaction_type": "sale",</w:t>
              <w:br/>
              <w:t xml:space="preserve">  "payment_method": "cash",</w:t>
              <w:br/>
              <w:t xml:space="preserve">  "document_type": "sales_invoice",</w:t>
              <w:br/>
              <w:t xml:space="preserve">  "gross_amount": 123.45,</w:t>
              <w:br/>
              <w:t xml:space="preserve">  "tax_type": "vatable",</w:t>
              <w:br/>
              <w:t xml:space="preserve">  "vat_rate": 12,</w:t>
              <w:br/>
              <w:t xml:space="preserve">  "vat_inclusive": true,</w:t>
              <w:br/>
              <w:t xml:space="preserve">  "customer_name": "Codex Live API Test Buyer",</w:t>
              <w:br/>
              <w:t xml:space="preserve">  "customer_tin": "000-000-000-000",</w:t>
              <w:br/>
              <w:t xml:space="preserve">  "branch_code": "MAIN",</w:t>
              <w:br/>
              <w:t xml:space="preserve">  "branch_name": "Main Office",</w:t>
              <w:br/>
              <w:t xml:space="preserve">  "branch_type": "main",</w:t>
              <w:br/>
              <w:t xml:space="preserve">  "items": [</w:t>
              <w:br/>
              <w:t xml:space="preserve">    {</w:t>
              <w:br/>
              <w:t xml:space="preserve">      "description": "Codex live API test item",</w:t>
              <w:br/>
              <w:t xml:space="preserve">      "quantity": 1,</w:t>
              <w:br/>
              <w:t xml:space="preserve">      "unit_price": 123.45</w:t>
              <w:br/>
              <w:t xml:space="preserve">    }</w:t>
              <w:br/>
              <w:t xml:space="preserve">  ]</w:t>
              <w:br/>
              <w:t>}</w:t>
            </w:r>
          </w:p>
        </w:tc>
      </w:tr>
    </w:tbl>
    <w:p>
      <w:pPr>
        <w:spacing w:after="40"/>
      </w:pPr>
    </w:p>
    <w:p>
      <w:pPr>
        <w:pStyle w:val="Heading1"/>
      </w:pPr>
      <w:r>
        <w:rPr>
          <w:b/>
        </w:rPr>
        <w:t>4. API Response</w:t>
      </w:r>
    </w:p>
    <w:tbl>
      <w:tblPr>
        <w:tblW w:type="auto" w:w="0"/>
        <w:tblLayout w:type="fixed"/>
        <w:tblLook w:firstColumn="1" w:firstRow="1" w:lastColumn="0" w:lastRow="0" w:noHBand="0" w:noVBand="1" w:val="04A0"/>
      </w:tblPr>
      <w:tblGrid>
        <w:gridCol w:w="3120"/>
        <w:gridCol w:w="3120"/>
        <w:gridCol w:w="3120"/>
      </w:tblGrid>
      <w:tr>
        <w:tc>
          <w:tcPr>
            <w:tcW w:type="dxa" w:w="2160"/>
            <w:vAlign w:val="center"/>
            <w:tcBorders>
              <w:top w:val="single" w:sz="4" w:space="0" w:color="DADCE0"/>
              <w:left w:val="single" w:sz="4" w:space="0" w:color="DADCE0"/>
              <w:bottom w:val="single" w:sz="4" w:space="0" w:color="DADCE0"/>
              <w:right w:val="single" w:sz="4" w:space="0" w:color="DADCE0"/>
            </w:tcBorders>
            <w:shd w:fill="E8EEF5"/>
          </w:tcPr>
          <w:p>
            <w:pPr>
              <w:spacing w:after="0" w:line="259" w:lineRule="auto"/>
            </w:pPr>
            <w:r/>
            <w:r>
              <w:rPr>
                <w:rFonts w:ascii="Calibri" w:hAnsi="Calibri"/>
                <w:b/>
                <w:color w:val="1F4D78"/>
                <w:sz w:val="18"/>
              </w:rPr>
              <w:t>Field</w:t>
            </w:r>
          </w:p>
        </w:tc>
        <w:tc>
          <w:tcPr>
            <w:tcW w:type="dxa" w:w="5328"/>
            <w:vAlign w:val="center"/>
            <w:tcBorders>
              <w:top w:val="single" w:sz="4" w:space="0" w:color="DADCE0"/>
              <w:left w:val="single" w:sz="4" w:space="0" w:color="DADCE0"/>
              <w:bottom w:val="single" w:sz="4" w:space="0" w:color="DADCE0"/>
              <w:right w:val="single" w:sz="4" w:space="0" w:color="DADCE0"/>
            </w:tcBorders>
            <w:shd w:fill="E8EEF5"/>
          </w:tcPr>
          <w:p>
            <w:pPr>
              <w:spacing w:after="0" w:line="259" w:lineRule="auto"/>
            </w:pPr>
            <w:r/>
            <w:r>
              <w:rPr>
                <w:rFonts w:ascii="Calibri" w:hAnsi="Calibri"/>
                <w:b/>
                <w:color w:val="1F4D78"/>
                <w:sz w:val="18"/>
              </w:rPr>
              <w:t>Observed value</w:t>
            </w:r>
          </w:p>
        </w:tc>
        <w:tc>
          <w:tcPr>
            <w:tcW w:type="dxa" w:w="1872"/>
            <w:vAlign w:val="center"/>
            <w:tcBorders>
              <w:top w:val="single" w:sz="4" w:space="0" w:color="DADCE0"/>
              <w:left w:val="single" w:sz="4" w:space="0" w:color="DADCE0"/>
              <w:bottom w:val="single" w:sz="4" w:space="0" w:color="DADCE0"/>
              <w:right w:val="single" w:sz="4" w:space="0" w:color="DADCE0"/>
            </w:tcBorders>
            <w:shd w:fill="E8EEF5"/>
          </w:tcPr>
          <w:p>
            <w:pPr>
              <w:spacing w:after="0" w:line="259" w:lineRule="auto"/>
            </w:pPr>
            <w:r/>
            <w:r>
              <w:rPr>
                <w:rFonts w:ascii="Calibri" w:hAnsi="Calibri"/>
                <w:b/>
                <w:color w:val="1F4D78"/>
                <w:sz w:val="18"/>
              </w:rPr>
              <w:t>Result</w:t>
            </w:r>
          </w:p>
        </w:tc>
      </w:tr>
      <w:tr>
        <w:tc>
          <w:tcPr>
            <w:tcW w:type="dxa" w:w="3120"/>
            <w:tcBorders>
              <w:top w:val="single" w:sz="4" w:space="0" w:color="DADCE0"/>
              <w:left w:val="single" w:sz="4" w:space="0" w:color="DADCE0"/>
              <w:bottom w:val="single" w:sz="4" w:space="0" w:color="DADCE0"/>
              <w:right w:val="single" w:sz="4" w:space="0" w:color="DADCE0"/>
            </w:tcBorders>
            <w:shd w:fill="F2F4F7"/>
          </w:tcPr>
          <w:p>
            <w:pPr>
              <w:spacing w:after="0" w:line="259" w:lineRule="auto"/>
            </w:pPr>
            <w:r/>
            <w:r>
              <w:rPr>
                <w:rFonts w:ascii="Calibri" w:hAnsi="Calibri"/>
                <w:b w:val="0"/>
                <w:color w:val="111827"/>
                <w:sz w:val="18"/>
              </w:rPr>
              <w:t>HTTP status</w:t>
            </w:r>
          </w:p>
        </w:tc>
        <w:tc>
          <w:tcPr>
            <w:tcW w:type="dxa" w:w="3120"/>
            <w:tcBorders>
              <w:top w:val="single" w:sz="4" w:space="0" w:color="DADCE0"/>
              <w:left w:val="single" w:sz="4" w:space="0" w:color="DADCE0"/>
              <w:bottom w:val="single" w:sz="4" w:space="0" w:color="DADCE0"/>
              <w:right w:val="single" w:sz="4" w:space="0" w:color="DADCE0"/>
            </w:tcBorders>
          </w:tcPr>
          <w:p>
            <w:pPr>
              <w:spacing w:after="0" w:line="259" w:lineRule="auto"/>
            </w:pPr>
            <w:r/>
            <w:r>
              <w:rPr>
                <w:rFonts w:ascii="Calibri" w:hAnsi="Calibri"/>
                <w:b w:val="0"/>
                <w:color w:val="111827"/>
                <w:sz w:val="18"/>
              </w:rPr>
              <w:t>201 Created</w:t>
            </w:r>
          </w:p>
        </w:tc>
        <w:tc>
          <w:tcPr>
            <w:tcW w:type="dxa" w:w="3120"/>
            <w:tcBorders>
              <w:top w:val="single" w:sz="4" w:space="0" w:color="DADCE0"/>
              <w:left w:val="single" w:sz="4" w:space="0" w:color="DADCE0"/>
              <w:bottom w:val="single" w:sz="4" w:space="0" w:color="DADCE0"/>
              <w:right w:val="single" w:sz="4" w:space="0" w:color="DADCE0"/>
            </w:tcBorders>
          </w:tcPr>
          <w:p>
            <w:pPr>
              <w:spacing w:after="0" w:line="259" w:lineRule="auto"/>
            </w:pPr>
            <w:r/>
            <w:r>
              <w:rPr>
                <w:rFonts w:ascii="Calibri" w:hAnsi="Calibri"/>
                <w:b w:val="0"/>
                <w:color w:val="166534"/>
                <w:sz w:val="18"/>
              </w:rPr>
              <w:t>Passed</w:t>
            </w:r>
          </w:p>
        </w:tc>
      </w:tr>
      <w:tr>
        <w:tc>
          <w:tcPr>
            <w:tcW w:type="dxa" w:w="3120"/>
            <w:tcBorders>
              <w:top w:val="single" w:sz="4" w:space="0" w:color="DADCE0"/>
              <w:left w:val="single" w:sz="4" w:space="0" w:color="DADCE0"/>
              <w:bottom w:val="single" w:sz="4" w:space="0" w:color="DADCE0"/>
              <w:right w:val="single" w:sz="4" w:space="0" w:color="DADCE0"/>
            </w:tcBorders>
            <w:shd w:fill="F2F4F7"/>
          </w:tcPr>
          <w:p>
            <w:pPr>
              <w:spacing w:after="0" w:line="259" w:lineRule="auto"/>
            </w:pPr>
            <w:r/>
            <w:r>
              <w:rPr>
                <w:rFonts w:ascii="Calibri" w:hAnsi="Calibri"/>
                <w:b w:val="0"/>
                <w:color w:val="111827"/>
                <w:sz w:val="18"/>
              </w:rPr>
              <w:t>Duplicate flag</w:t>
            </w:r>
          </w:p>
        </w:tc>
        <w:tc>
          <w:tcPr>
            <w:tcW w:type="dxa" w:w="3120"/>
            <w:tcBorders>
              <w:top w:val="single" w:sz="4" w:space="0" w:color="DADCE0"/>
              <w:left w:val="single" w:sz="4" w:space="0" w:color="DADCE0"/>
              <w:bottom w:val="single" w:sz="4" w:space="0" w:color="DADCE0"/>
              <w:right w:val="single" w:sz="4" w:space="0" w:color="DADCE0"/>
            </w:tcBorders>
          </w:tcPr>
          <w:p>
            <w:pPr>
              <w:spacing w:after="0" w:line="259" w:lineRule="auto"/>
            </w:pPr>
            <w:r/>
            <w:r>
              <w:rPr>
                <w:rFonts w:ascii="Calibri" w:hAnsi="Calibri"/>
                <w:b w:val="0"/>
                <w:color w:val="111827"/>
                <w:sz w:val="18"/>
              </w:rPr>
              <w:t>No duplicate response was returned</w:t>
            </w:r>
          </w:p>
        </w:tc>
        <w:tc>
          <w:tcPr>
            <w:tcW w:type="dxa" w:w="3120"/>
            <w:tcBorders>
              <w:top w:val="single" w:sz="4" w:space="0" w:color="DADCE0"/>
              <w:left w:val="single" w:sz="4" w:space="0" w:color="DADCE0"/>
              <w:bottom w:val="single" w:sz="4" w:space="0" w:color="DADCE0"/>
              <w:right w:val="single" w:sz="4" w:space="0" w:color="DADCE0"/>
            </w:tcBorders>
          </w:tcPr>
          <w:p>
            <w:pPr>
              <w:spacing w:after="0" w:line="259" w:lineRule="auto"/>
            </w:pPr>
            <w:r/>
            <w:r>
              <w:rPr>
                <w:rFonts w:ascii="Calibri" w:hAnsi="Calibri"/>
                <w:b w:val="0"/>
                <w:color w:val="166534"/>
                <w:sz w:val="18"/>
              </w:rPr>
              <w:t>Passed</w:t>
            </w:r>
          </w:p>
        </w:tc>
      </w:tr>
      <w:tr>
        <w:tc>
          <w:tcPr>
            <w:tcW w:type="dxa" w:w="3120"/>
            <w:tcBorders>
              <w:top w:val="single" w:sz="4" w:space="0" w:color="DADCE0"/>
              <w:left w:val="single" w:sz="4" w:space="0" w:color="DADCE0"/>
              <w:bottom w:val="single" w:sz="4" w:space="0" w:color="DADCE0"/>
              <w:right w:val="single" w:sz="4" w:space="0" w:color="DADCE0"/>
            </w:tcBorders>
            <w:shd w:fill="F2F4F7"/>
          </w:tcPr>
          <w:p>
            <w:pPr>
              <w:spacing w:after="0" w:line="259" w:lineRule="auto"/>
            </w:pPr>
            <w:r/>
            <w:r>
              <w:rPr>
                <w:rFonts w:ascii="Calibri" w:hAnsi="Calibri"/>
                <w:b w:val="0"/>
                <w:color w:val="111827"/>
                <w:sz w:val="18"/>
              </w:rPr>
              <w:t>Transaction ID</w:t>
            </w:r>
          </w:p>
        </w:tc>
        <w:tc>
          <w:tcPr>
            <w:tcW w:type="dxa" w:w="3120"/>
            <w:tcBorders>
              <w:top w:val="single" w:sz="4" w:space="0" w:color="DADCE0"/>
              <w:left w:val="single" w:sz="4" w:space="0" w:color="DADCE0"/>
              <w:bottom w:val="single" w:sz="4" w:space="0" w:color="DADCE0"/>
              <w:right w:val="single" w:sz="4" w:space="0" w:color="DADCE0"/>
            </w:tcBorders>
          </w:tcPr>
          <w:p>
            <w:pPr>
              <w:spacing w:after="0" w:line="259" w:lineRule="auto"/>
            </w:pPr>
            <w:r/>
            <w:r>
              <w:rPr>
                <w:rFonts w:ascii="Calibri" w:hAnsi="Calibri"/>
                <w:b w:val="0"/>
                <w:color w:val="111827"/>
                <w:sz w:val="18"/>
              </w:rPr>
              <w:t>429bd850-0318-437c-9fde-363d63ac6c66</w:t>
            </w:r>
          </w:p>
        </w:tc>
        <w:tc>
          <w:tcPr>
            <w:tcW w:type="dxa" w:w="3120"/>
            <w:tcBorders>
              <w:top w:val="single" w:sz="4" w:space="0" w:color="DADCE0"/>
              <w:left w:val="single" w:sz="4" w:space="0" w:color="DADCE0"/>
              <w:bottom w:val="single" w:sz="4" w:space="0" w:color="DADCE0"/>
              <w:right w:val="single" w:sz="4" w:space="0" w:color="DADCE0"/>
            </w:tcBorders>
          </w:tcPr>
          <w:p>
            <w:pPr>
              <w:spacing w:after="0" w:line="259" w:lineRule="auto"/>
            </w:pPr>
            <w:r/>
            <w:r>
              <w:rPr>
                <w:rFonts w:ascii="Calibri" w:hAnsi="Calibri"/>
                <w:b w:val="0"/>
                <w:color w:val="166534"/>
                <w:sz w:val="18"/>
              </w:rPr>
              <w:t>Passed</w:t>
            </w:r>
          </w:p>
        </w:tc>
      </w:tr>
      <w:tr>
        <w:tc>
          <w:tcPr>
            <w:tcW w:type="dxa" w:w="3120"/>
            <w:tcBorders>
              <w:top w:val="single" w:sz="4" w:space="0" w:color="DADCE0"/>
              <w:left w:val="single" w:sz="4" w:space="0" w:color="DADCE0"/>
              <w:bottom w:val="single" w:sz="4" w:space="0" w:color="DADCE0"/>
              <w:right w:val="single" w:sz="4" w:space="0" w:color="DADCE0"/>
            </w:tcBorders>
            <w:shd w:fill="F2F4F7"/>
          </w:tcPr>
          <w:p>
            <w:pPr>
              <w:spacing w:after="0" w:line="259" w:lineRule="auto"/>
            </w:pPr>
            <w:r/>
            <w:r>
              <w:rPr>
                <w:rFonts w:ascii="Calibri" w:hAnsi="Calibri"/>
                <w:b w:val="0"/>
                <w:color w:val="111827"/>
                <w:sz w:val="18"/>
              </w:rPr>
              <w:t>Receipt number</w:t>
            </w:r>
          </w:p>
        </w:tc>
        <w:tc>
          <w:tcPr>
            <w:tcW w:type="dxa" w:w="3120"/>
            <w:tcBorders>
              <w:top w:val="single" w:sz="4" w:space="0" w:color="DADCE0"/>
              <w:left w:val="single" w:sz="4" w:space="0" w:color="DADCE0"/>
              <w:bottom w:val="single" w:sz="4" w:space="0" w:color="DADCE0"/>
              <w:right w:val="single" w:sz="4" w:space="0" w:color="DADCE0"/>
            </w:tcBorders>
          </w:tcPr>
          <w:p>
            <w:pPr>
              <w:spacing w:after="0" w:line="259" w:lineRule="auto"/>
            </w:pPr>
            <w:r/>
            <w:r>
              <w:rPr>
                <w:rFonts w:ascii="Calibri" w:hAnsi="Calibri"/>
                <w:b w:val="0"/>
                <w:color w:val="111827"/>
                <w:sz w:val="18"/>
              </w:rPr>
              <w:t>VI-20260603-WQEBLQC1</w:t>
            </w:r>
          </w:p>
        </w:tc>
        <w:tc>
          <w:tcPr>
            <w:tcW w:type="dxa" w:w="3120"/>
            <w:tcBorders>
              <w:top w:val="single" w:sz="4" w:space="0" w:color="DADCE0"/>
              <w:left w:val="single" w:sz="4" w:space="0" w:color="DADCE0"/>
              <w:bottom w:val="single" w:sz="4" w:space="0" w:color="DADCE0"/>
              <w:right w:val="single" w:sz="4" w:space="0" w:color="DADCE0"/>
            </w:tcBorders>
          </w:tcPr>
          <w:p>
            <w:pPr>
              <w:spacing w:after="0" w:line="259" w:lineRule="auto"/>
            </w:pPr>
            <w:r/>
            <w:r>
              <w:rPr>
                <w:rFonts w:ascii="Calibri" w:hAnsi="Calibri"/>
                <w:b w:val="0"/>
                <w:color w:val="166534"/>
                <w:sz w:val="18"/>
              </w:rPr>
              <w:t>Passed</w:t>
            </w:r>
          </w:p>
        </w:tc>
      </w:tr>
    </w:tbl>
    <w:p>
      <w:pPr>
        <w:pStyle w:val="Heading1"/>
      </w:pPr>
      <w:r>
        <w:rPr>
          <w:b/>
        </w:rPr>
        <w:t>5. Verification Evidence</w:t>
      </w:r>
    </w:p>
    <w:tbl>
      <w:tblPr>
        <w:tblW w:type="auto" w:w="0"/>
        <w:tblLayout w:type="fixed"/>
        <w:tblLook w:firstColumn="1" w:firstRow="1" w:lastColumn="0" w:lastRow="0" w:noHBand="0" w:noVBand="1" w:val="04A0"/>
      </w:tblPr>
      <w:tblGrid>
        <w:gridCol w:w="3120"/>
        <w:gridCol w:w="3120"/>
        <w:gridCol w:w="3120"/>
      </w:tblGrid>
      <w:tr>
        <w:tc>
          <w:tcPr>
            <w:tcW w:type="dxa" w:w="2736"/>
            <w:vAlign w:val="center"/>
            <w:tcBorders>
              <w:top w:val="single" w:sz="4" w:space="0" w:color="DADCE0"/>
              <w:left w:val="single" w:sz="4" w:space="0" w:color="DADCE0"/>
              <w:bottom w:val="single" w:sz="4" w:space="0" w:color="DADCE0"/>
              <w:right w:val="single" w:sz="4" w:space="0" w:color="DADCE0"/>
            </w:tcBorders>
            <w:shd w:fill="E8EEF5"/>
          </w:tcPr>
          <w:p>
            <w:pPr>
              <w:spacing w:after="0" w:line="259" w:lineRule="auto"/>
            </w:pPr>
            <w:r/>
            <w:r>
              <w:rPr>
                <w:rFonts w:ascii="Calibri" w:hAnsi="Calibri"/>
                <w:b/>
                <w:color w:val="1F4D78"/>
                <w:sz w:val="18"/>
              </w:rPr>
              <w:t>Verification check</w:t>
            </w:r>
          </w:p>
        </w:tc>
        <w:tc>
          <w:tcPr>
            <w:tcW w:type="dxa" w:w="4752"/>
            <w:vAlign w:val="center"/>
            <w:tcBorders>
              <w:top w:val="single" w:sz="4" w:space="0" w:color="DADCE0"/>
              <w:left w:val="single" w:sz="4" w:space="0" w:color="DADCE0"/>
              <w:bottom w:val="single" w:sz="4" w:space="0" w:color="DADCE0"/>
              <w:right w:val="single" w:sz="4" w:space="0" w:color="DADCE0"/>
            </w:tcBorders>
            <w:shd w:fill="E8EEF5"/>
          </w:tcPr>
          <w:p>
            <w:pPr>
              <w:spacing w:after="0" w:line="259" w:lineRule="auto"/>
            </w:pPr>
            <w:r/>
            <w:r>
              <w:rPr>
                <w:rFonts w:ascii="Calibri" w:hAnsi="Calibri"/>
                <w:b/>
                <w:color w:val="1F4D78"/>
                <w:sz w:val="18"/>
              </w:rPr>
              <w:t>Live endpoint / signal</w:t>
            </w:r>
          </w:p>
        </w:tc>
        <w:tc>
          <w:tcPr>
            <w:tcW w:type="dxa" w:w="1872"/>
            <w:vAlign w:val="center"/>
            <w:tcBorders>
              <w:top w:val="single" w:sz="4" w:space="0" w:color="DADCE0"/>
              <w:left w:val="single" w:sz="4" w:space="0" w:color="DADCE0"/>
              <w:bottom w:val="single" w:sz="4" w:space="0" w:color="DADCE0"/>
              <w:right w:val="single" w:sz="4" w:space="0" w:color="DADCE0"/>
            </w:tcBorders>
            <w:shd w:fill="E8EEF5"/>
          </w:tcPr>
          <w:p>
            <w:pPr>
              <w:spacing w:after="0" w:line="259" w:lineRule="auto"/>
            </w:pPr>
            <w:r/>
            <w:r>
              <w:rPr>
                <w:rFonts w:ascii="Calibri" w:hAnsi="Calibri"/>
                <w:b/>
                <w:color w:val="1F4D78"/>
                <w:sz w:val="18"/>
              </w:rPr>
              <w:t>Observed result</w:t>
            </w:r>
          </w:p>
        </w:tc>
      </w:tr>
      <w:tr>
        <w:tc>
          <w:tcPr>
            <w:tcW w:type="dxa" w:w="3120"/>
            <w:tcBorders>
              <w:top w:val="single" w:sz="4" w:space="0" w:color="DADCE0"/>
              <w:left w:val="single" w:sz="4" w:space="0" w:color="DADCE0"/>
              <w:bottom w:val="single" w:sz="4" w:space="0" w:color="DADCE0"/>
              <w:right w:val="single" w:sz="4" w:space="0" w:color="DADCE0"/>
            </w:tcBorders>
            <w:shd w:fill="F2F4F7"/>
          </w:tcPr>
          <w:p>
            <w:pPr>
              <w:spacing w:after="0" w:line="259" w:lineRule="auto"/>
            </w:pPr>
            <w:r/>
            <w:r>
              <w:rPr>
                <w:rFonts w:ascii="Calibri" w:hAnsi="Calibri"/>
                <w:b w:val="0"/>
                <w:color w:val="111827"/>
                <w:sz w:val="18"/>
              </w:rPr>
              <w:t>Merchant transaction lookup</w:t>
            </w:r>
          </w:p>
        </w:tc>
        <w:tc>
          <w:tcPr>
            <w:tcW w:type="dxa" w:w="3120"/>
            <w:tcBorders>
              <w:top w:val="single" w:sz="4" w:space="0" w:color="DADCE0"/>
              <w:left w:val="single" w:sz="4" w:space="0" w:color="DADCE0"/>
              <w:bottom w:val="single" w:sz="4" w:space="0" w:color="DADCE0"/>
              <w:right w:val="single" w:sz="4" w:space="0" w:color="DADCE0"/>
            </w:tcBorders>
          </w:tcPr>
          <w:p>
            <w:pPr>
              <w:spacing w:after="0" w:line="259" w:lineRule="auto"/>
            </w:pPr>
            <w:r/>
            <w:r>
              <w:rPr>
                <w:rFonts w:ascii="Calibri" w:hAnsi="Calibri"/>
                <w:b w:val="0"/>
                <w:color w:val="111827"/>
                <w:sz w:val="18"/>
              </w:rPr>
              <w:t>/public/api/merchant/transactions?search=CODEX-LIVE-API-TEST-B21DF9A8</w:t>
            </w:r>
          </w:p>
        </w:tc>
        <w:tc>
          <w:tcPr>
            <w:tcW w:type="dxa" w:w="3120"/>
            <w:tcBorders>
              <w:top w:val="single" w:sz="4" w:space="0" w:color="DADCE0"/>
              <w:left w:val="single" w:sz="4" w:space="0" w:color="DADCE0"/>
              <w:bottom w:val="single" w:sz="4" w:space="0" w:color="DADCE0"/>
              <w:right w:val="single" w:sz="4" w:space="0" w:color="DADCE0"/>
            </w:tcBorders>
          </w:tcPr>
          <w:p>
            <w:pPr>
              <w:spacing w:after="0" w:line="259" w:lineRule="auto"/>
            </w:pPr>
            <w:r/>
            <w:r>
              <w:rPr>
                <w:rFonts w:ascii="Calibri" w:hAnsi="Calibri"/>
                <w:b w:val="0"/>
                <w:color w:val="111827"/>
                <w:sz w:val="18"/>
              </w:rPr>
              <w:t>1 matching row found</w:t>
            </w:r>
          </w:p>
        </w:tc>
      </w:tr>
      <w:tr>
        <w:tc>
          <w:tcPr>
            <w:tcW w:type="dxa" w:w="3120"/>
            <w:tcBorders>
              <w:top w:val="single" w:sz="4" w:space="0" w:color="DADCE0"/>
              <w:left w:val="single" w:sz="4" w:space="0" w:color="DADCE0"/>
              <w:bottom w:val="single" w:sz="4" w:space="0" w:color="DADCE0"/>
              <w:right w:val="single" w:sz="4" w:space="0" w:color="DADCE0"/>
            </w:tcBorders>
            <w:shd w:fill="F2F4F7"/>
          </w:tcPr>
          <w:p>
            <w:pPr>
              <w:spacing w:after="0" w:line="259" w:lineRule="auto"/>
            </w:pPr>
            <w:r/>
            <w:r>
              <w:rPr>
                <w:rFonts w:ascii="Calibri" w:hAnsi="Calibri"/>
                <w:b w:val="0"/>
                <w:color w:val="111827"/>
                <w:sz w:val="18"/>
              </w:rPr>
              <w:t>Merchant receipt lookup</w:t>
            </w:r>
          </w:p>
        </w:tc>
        <w:tc>
          <w:tcPr>
            <w:tcW w:type="dxa" w:w="3120"/>
            <w:tcBorders>
              <w:top w:val="single" w:sz="4" w:space="0" w:color="DADCE0"/>
              <w:left w:val="single" w:sz="4" w:space="0" w:color="DADCE0"/>
              <w:bottom w:val="single" w:sz="4" w:space="0" w:color="DADCE0"/>
              <w:right w:val="single" w:sz="4" w:space="0" w:color="DADCE0"/>
            </w:tcBorders>
          </w:tcPr>
          <w:p>
            <w:pPr>
              <w:spacing w:after="0" w:line="259" w:lineRule="auto"/>
            </w:pPr>
            <w:r/>
            <w:r>
              <w:rPr>
                <w:rFonts w:ascii="Calibri" w:hAnsi="Calibri"/>
                <w:b w:val="0"/>
                <w:color w:val="111827"/>
                <w:sz w:val="18"/>
              </w:rPr>
              <w:t>/public/api/merchant/receipts?search=VI-20260603-WQEBLQC1</w:t>
            </w:r>
          </w:p>
        </w:tc>
        <w:tc>
          <w:tcPr>
            <w:tcW w:type="dxa" w:w="3120"/>
            <w:tcBorders>
              <w:top w:val="single" w:sz="4" w:space="0" w:color="DADCE0"/>
              <w:left w:val="single" w:sz="4" w:space="0" w:color="DADCE0"/>
              <w:bottom w:val="single" w:sz="4" w:space="0" w:color="DADCE0"/>
              <w:right w:val="single" w:sz="4" w:space="0" w:color="DADCE0"/>
            </w:tcBorders>
          </w:tcPr>
          <w:p>
            <w:pPr>
              <w:spacing w:after="0" w:line="259" w:lineRule="auto"/>
            </w:pPr>
            <w:r/>
            <w:r>
              <w:rPr>
                <w:rFonts w:ascii="Calibri" w:hAnsi="Calibri"/>
                <w:b w:val="0"/>
                <w:color w:val="111827"/>
                <w:sz w:val="18"/>
              </w:rPr>
              <w:t>1 matching row found</w:t>
            </w:r>
          </w:p>
        </w:tc>
      </w:tr>
      <w:tr>
        <w:tc>
          <w:tcPr>
            <w:tcW w:type="dxa" w:w="3120"/>
            <w:tcBorders>
              <w:top w:val="single" w:sz="4" w:space="0" w:color="DADCE0"/>
              <w:left w:val="single" w:sz="4" w:space="0" w:color="DADCE0"/>
              <w:bottom w:val="single" w:sz="4" w:space="0" w:color="DADCE0"/>
              <w:right w:val="single" w:sz="4" w:space="0" w:color="DADCE0"/>
            </w:tcBorders>
            <w:shd w:fill="F2F4F7"/>
          </w:tcPr>
          <w:p>
            <w:pPr>
              <w:spacing w:after="0" w:line="259" w:lineRule="auto"/>
            </w:pPr>
            <w:r/>
            <w:r>
              <w:rPr>
                <w:rFonts w:ascii="Calibri" w:hAnsi="Calibri"/>
                <w:b w:val="0"/>
                <w:color w:val="111827"/>
                <w:sz w:val="18"/>
              </w:rPr>
              <w:t>Temporary API key cleanup</w:t>
            </w:r>
          </w:p>
        </w:tc>
        <w:tc>
          <w:tcPr>
            <w:tcW w:type="dxa" w:w="3120"/>
            <w:tcBorders>
              <w:top w:val="single" w:sz="4" w:space="0" w:color="DADCE0"/>
              <w:left w:val="single" w:sz="4" w:space="0" w:color="DADCE0"/>
              <w:bottom w:val="single" w:sz="4" w:space="0" w:color="DADCE0"/>
              <w:right w:val="single" w:sz="4" w:space="0" w:color="DADCE0"/>
            </w:tcBorders>
          </w:tcPr>
          <w:p>
            <w:pPr>
              <w:spacing w:after="0" w:line="259" w:lineRule="auto"/>
            </w:pPr>
            <w:r/>
            <w:r>
              <w:rPr>
                <w:rFonts w:ascii="Calibri" w:hAnsi="Calibri"/>
                <w:b w:val="0"/>
                <w:color w:val="111827"/>
                <w:sz w:val="18"/>
              </w:rPr>
              <w:t>/public/api/merchant/api-keys</w:t>
            </w:r>
          </w:p>
        </w:tc>
        <w:tc>
          <w:tcPr>
            <w:tcW w:type="dxa" w:w="3120"/>
            <w:tcBorders>
              <w:top w:val="single" w:sz="4" w:space="0" w:color="DADCE0"/>
              <w:left w:val="single" w:sz="4" w:space="0" w:color="DADCE0"/>
              <w:bottom w:val="single" w:sz="4" w:space="0" w:color="DADCE0"/>
              <w:right w:val="single" w:sz="4" w:space="0" w:color="DADCE0"/>
            </w:tcBorders>
          </w:tcPr>
          <w:p>
            <w:pPr>
              <w:spacing w:after="0" w:line="259" w:lineRule="auto"/>
            </w:pPr>
            <w:r/>
            <w:r>
              <w:rPr>
                <w:rFonts w:ascii="Calibri" w:hAnsi="Calibri"/>
                <w:b w:val="0"/>
                <w:color w:val="111827"/>
                <w:sz w:val="18"/>
              </w:rPr>
              <w:t>Status revoked, active no</w:t>
            </w:r>
          </w:p>
        </w:tc>
      </w:tr>
    </w:tbl>
    <w:p>
      <w:pPr>
        <w:pStyle w:val="Heading1"/>
      </w:pPr>
      <w:r>
        <w:rPr>
          <w:b/>
        </w:rPr>
        <w:t>6. Security and Cleanup</w:t>
      </w:r>
    </w:p>
    <w:p>
      <w:pPr>
        <w:spacing w:after="120" w:line="264" w:lineRule="auto"/>
      </w:pPr>
      <w:r>
        <w:t>The full API secret was available only immediately after key creation and was not written into this report. Temporary local response files containing tokens or secrets were deleted after the test.</w:t>
      </w:r>
    </w:p>
    <w:p>
      <w:pPr>
        <w:spacing w:after="120" w:line="264" w:lineRule="auto"/>
      </w:pPr>
      <w:r>
        <w:t>The temporary live API key was revoked after the transaction was verified. Read-only verification confirmed that its status is revoked and active is no.</w:t>
      </w:r>
    </w:p>
    <w:p>
      <w:pPr>
        <w:pStyle w:val="Heading1"/>
      </w:pPr>
      <w:r>
        <w:rPr>
          <w:b/>
        </w:rPr>
        <w:t>7. Operational Notes</w:t>
      </w:r>
    </w:p>
    <w:tbl>
      <w:tblPr>
        <w:tblW w:type="auto" w:w="0"/>
        <w:tblLayout w:type="fixed"/>
        <w:tblLook w:firstColumn="1" w:firstRow="1" w:lastColumn="0" w:lastRow="0" w:noHBand="0" w:noVBand="1" w:val="04A0"/>
      </w:tblPr>
      <w:tblGrid>
        <w:gridCol w:w="4680"/>
        <w:gridCol w:w="4680"/>
      </w:tblGrid>
      <w:tr>
        <w:tc>
          <w:tcPr>
            <w:tcW w:type="dxa" w:w="2736"/>
            <w:vAlign w:val="center"/>
            <w:tcBorders>
              <w:top w:val="single" w:sz="4" w:space="0" w:color="DADCE0"/>
              <w:left w:val="single" w:sz="4" w:space="0" w:color="DADCE0"/>
              <w:bottom w:val="single" w:sz="4" w:space="0" w:color="DADCE0"/>
              <w:right w:val="single" w:sz="4" w:space="0" w:color="DADCE0"/>
            </w:tcBorders>
            <w:shd w:fill="E8EEF5"/>
          </w:tcPr>
          <w:p>
            <w:pPr>
              <w:spacing w:after="0" w:line="259" w:lineRule="auto"/>
            </w:pPr>
            <w:r/>
            <w:r>
              <w:rPr>
                <w:rFonts w:ascii="Calibri" w:hAnsi="Calibri"/>
                <w:b/>
                <w:color w:val="1F4D78"/>
                <w:sz w:val="18"/>
              </w:rPr>
              <w:t>Item</w:t>
            </w:r>
          </w:p>
        </w:tc>
        <w:tc>
          <w:tcPr>
            <w:tcW w:type="dxa" w:w="6624"/>
            <w:vAlign w:val="center"/>
            <w:tcBorders>
              <w:top w:val="single" w:sz="4" w:space="0" w:color="DADCE0"/>
              <w:left w:val="single" w:sz="4" w:space="0" w:color="DADCE0"/>
              <w:bottom w:val="single" w:sz="4" w:space="0" w:color="DADCE0"/>
              <w:right w:val="single" w:sz="4" w:space="0" w:color="DADCE0"/>
            </w:tcBorders>
            <w:shd w:fill="E8EEF5"/>
          </w:tcPr>
          <w:p>
            <w:pPr>
              <w:spacing w:after="0" w:line="259" w:lineRule="auto"/>
            </w:pPr>
            <w:r/>
            <w:r>
              <w:rPr>
                <w:rFonts w:ascii="Calibri" w:hAnsi="Calibri"/>
                <w:b/>
                <w:color w:val="1F4D78"/>
                <w:sz w:val="18"/>
              </w:rPr>
              <w:t>Value</w:t>
            </w:r>
          </w:p>
        </w:tc>
      </w:tr>
      <w:tr>
        <w:tc>
          <w:tcPr>
            <w:tcW w:type="dxa" w:w="4680"/>
            <w:tcBorders>
              <w:top w:val="single" w:sz="4" w:space="0" w:color="DADCE0"/>
              <w:left w:val="single" w:sz="4" w:space="0" w:color="DADCE0"/>
              <w:bottom w:val="single" w:sz="4" w:space="0" w:color="DADCE0"/>
              <w:right w:val="single" w:sz="4" w:space="0" w:color="DADCE0"/>
            </w:tcBorders>
            <w:shd w:fill="F2F4F7"/>
          </w:tcPr>
          <w:p>
            <w:pPr>
              <w:spacing w:after="0" w:line="259" w:lineRule="auto"/>
            </w:pPr>
            <w:r/>
            <w:r>
              <w:rPr>
                <w:rFonts w:ascii="Calibri" w:hAnsi="Calibri"/>
                <w:b w:val="0"/>
                <w:color w:val="111827"/>
                <w:sz w:val="18"/>
              </w:rPr>
              <w:t>Record classification</w:t>
            </w:r>
          </w:p>
        </w:tc>
        <w:tc>
          <w:tcPr>
            <w:tcW w:type="dxa" w:w="4680"/>
            <w:tcBorders>
              <w:top w:val="single" w:sz="4" w:space="0" w:color="DADCE0"/>
              <w:left w:val="single" w:sz="4" w:space="0" w:color="DADCE0"/>
              <w:bottom w:val="single" w:sz="4" w:space="0" w:color="DADCE0"/>
              <w:right w:val="single" w:sz="4" w:space="0" w:color="DADCE0"/>
            </w:tcBorders>
          </w:tcPr>
          <w:p>
            <w:pPr>
              <w:spacing w:after="0" w:line="259" w:lineRule="auto"/>
            </w:pPr>
            <w:r/>
            <w:r>
              <w:rPr>
                <w:rFonts w:ascii="Calibri" w:hAnsi="Calibri"/>
                <w:b w:val="0"/>
                <w:color w:val="111827"/>
                <w:sz w:val="18"/>
              </w:rPr>
              <w:t>Production test transaction</w:t>
            </w:r>
          </w:p>
        </w:tc>
      </w:tr>
      <w:tr>
        <w:tc>
          <w:tcPr>
            <w:tcW w:type="dxa" w:w="4680"/>
            <w:tcBorders>
              <w:top w:val="single" w:sz="4" w:space="0" w:color="DADCE0"/>
              <w:left w:val="single" w:sz="4" w:space="0" w:color="DADCE0"/>
              <w:bottom w:val="single" w:sz="4" w:space="0" w:color="DADCE0"/>
              <w:right w:val="single" w:sz="4" w:space="0" w:color="DADCE0"/>
            </w:tcBorders>
            <w:shd w:fill="F2F4F7"/>
          </w:tcPr>
          <w:p>
            <w:pPr>
              <w:spacing w:after="0" w:line="259" w:lineRule="auto"/>
            </w:pPr>
            <w:r/>
            <w:r>
              <w:rPr>
                <w:rFonts w:ascii="Calibri" w:hAnsi="Calibri"/>
                <w:b w:val="0"/>
                <w:color w:val="111827"/>
                <w:sz w:val="18"/>
              </w:rPr>
              <w:t>External reference</w:t>
            </w:r>
          </w:p>
        </w:tc>
        <w:tc>
          <w:tcPr>
            <w:tcW w:type="dxa" w:w="4680"/>
            <w:tcBorders>
              <w:top w:val="single" w:sz="4" w:space="0" w:color="DADCE0"/>
              <w:left w:val="single" w:sz="4" w:space="0" w:color="DADCE0"/>
              <w:bottom w:val="single" w:sz="4" w:space="0" w:color="DADCE0"/>
              <w:right w:val="single" w:sz="4" w:space="0" w:color="DADCE0"/>
            </w:tcBorders>
          </w:tcPr>
          <w:p>
            <w:pPr>
              <w:spacing w:after="0" w:line="259" w:lineRule="auto"/>
            </w:pPr>
            <w:r/>
            <w:r>
              <w:rPr>
                <w:rFonts w:ascii="Calibri" w:hAnsi="Calibri"/>
                <w:b w:val="0"/>
                <w:color w:val="111827"/>
                <w:sz w:val="18"/>
              </w:rPr>
              <w:t>CODEX-LIVE-API-TEST-B21DF9A8</w:t>
            </w:r>
          </w:p>
        </w:tc>
      </w:tr>
      <w:tr>
        <w:tc>
          <w:tcPr>
            <w:tcW w:type="dxa" w:w="4680"/>
            <w:tcBorders>
              <w:top w:val="single" w:sz="4" w:space="0" w:color="DADCE0"/>
              <w:left w:val="single" w:sz="4" w:space="0" w:color="DADCE0"/>
              <w:bottom w:val="single" w:sz="4" w:space="0" w:color="DADCE0"/>
              <w:right w:val="single" w:sz="4" w:space="0" w:color="DADCE0"/>
            </w:tcBorders>
            <w:shd w:fill="F2F4F7"/>
          </w:tcPr>
          <w:p>
            <w:pPr>
              <w:spacing w:after="0" w:line="259" w:lineRule="auto"/>
            </w:pPr>
            <w:r/>
            <w:r>
              <w:rPr>
                <w:rFonts w:ascii="Calibri" w:hAnsi="Calibri"/>
                <w:b w:val="0"/>
                <w:color w:val="111827"/>
                <w:sz w:val="18"/>
              </w:rPr>
              <w:t>Gross amount</w:t>
            </w:r>
          </w:p>
        </w:tc>
        <w:tc>
          <w:tcPr>
            <w:tcW w:type="dxa" w:w="4680"/>
            <w:tcBorders>
              <w:top w:val="single" w:sz="4" w:space="0" w:color="DADCE0"/>
              <w:left w:val="single" w:sz="4" w:space="0" w:color="DADCE0"/>
              <w:bottom w:val="single" w:sz="4" w:space="0" w:color="DADCE0"/>
              <w:right w:val="single" w:sz="4" w:space="0" w:color="DADCE0"/>
            </w:tcBorders>
          </w:tcPr>
          <w:p>
            <w:pPr>
              <w:spacing w:after="0" w:line="259" w:lineRule="auto"/>
            </w:pPr>
            <w:r/>
            <w:r>
              <w:rPr>
                <w:rFonts w:ascii="Calibri" w:hAnsi="Calibri"/>
                <w:b w:val="0"/>
                <w:color w:val="111827"/>
                <w:sz w:val="18"/>
              </w:rPr>
              <w:t>PHP 123.45</w:t>
            </w:r>
          </w:p>
        </w:tc>
      </w:tr>
      <w:tr>
        <w:tc>
          <w:tcPr>
            <w:tcW w:type="dxa" w:w="4680"/>
            <w:tcBorders>
              <w:top w:val="single" w:sz="4" w:space="0" w:color="DADCE0"/>
              <w:left w:val="single" w:sz="4" w:space="0" w:color="DADCE0"/>
              <w:bottom w:val="single" w:sz="4" w:space="0" w:color="DADCE0"/>
              <w:right w:val="single" w:sz="4" w:space="0" w:color="DADCE0"/>
            </w:tcBorders>
            <w:shd w:fill="F2F4F7"/>
          </w:tcPr>
          <w:p>
            <w:pPr>
              <w:spacing w:after="0" w:line="259" w:lineRule="auto"/>
            </w:pPr>
            <w:r/>
            <w:r>
              <w:rPr>
                <w:rFonts w:ascii="Calibri" w:hAnsi="Calibri"/>
                <w:b w:val="0"/>
                <w:color w:val="111827"/>
                <w:sz w:val="18"/>
              </w:rPr>
              <w:t>Recommended handling</w:t>
            </w:r>
          </w:p>
        </w:tc>
        <w:tc>
          <w:tcPr>
            <w:tcW w:type="dxa" w:w="4680"/>
            <w:tcBorders>
              <w:top w:val="single" w:sz="4" w:space="0" w:color="DADCE0"/>
              <w:left w:val="single" w:sz="4" w:space="0" w:color="DADCE0"/>
              <w:bottom w:val="single" w:sz="4" w:space="0" w:color="DADCE0"/>
              <w:right w:val="single" w:sz="4" w:space="0" w:color="DADCE0"/>
            </w:tcBorders>
          </w:tcPr>
          <w:p>
            <w:pPr>
              <w:spacing w:after="0" w:line="259" w:lineRule="auto"/>
            </w:pPr>
            <w:r/>
            <w:r>
              <w:rPr>
                <w:rFonts w:ascii="Calibri" w:hAnsi="Calibri"/>
                <w:b w:val="0"/>
                <w:color w:val="111827"/>
                <w:sz w:val="18"/>
              </w:rPr>
              <w:t>Keep for audit trail, or filter by external_reference/source_system in reports if test records should be excluded.</w:t>
            </w:r>
          </w:p>
        </w:tc>
      </w:tr>
      <w:tr>
        <w:tc>
          <w:tcPr>
            <w:tcW w:type="dxa" w:w="4680"/>
            <w:tcBorders>
              <w:top w:val="single" w:sz="4" w:space="0" w:color="DADCE0"/>
              <w:left w:val="single" w:sz="4" w:space="0" w:color="DADCE0"/>
              <w:bottom w:val="single" w:sz="4" w:space="0" w:color="DADCE0"/>
              <w:right w:val="single" w:sz="4" w:space="0" w:color="DADCE0"/>
            </w:tcBorders>
            <w:shd w:fill="F2F4F7"/>
          </w:tcPr>
          <w:p>
            <w:pPr>
              <w:spacing w:after="0" w:line="259" w:lineRule="auto"/>
            </w:pPr>
            <w:r/>
            <w:r>
              <w:rPr>
                <w:rFonts w:ascii="Calibri" w:hAnsi="Calibri"/>
                <w:b w:val="0"/>
                <w:color w:val="111827"/>
                <w:sz w:val="18"/>
              </w:rPr>
              <w:t>Code changes required</w:t>
            </w:r>
          </w:p>
        </w:tc>
        <w:tc>
          <w:tcPr>
            <w:tcW w:type="dxa" w:w="4680"/>
            <w:tcBorders>
              <w:top w:val="single" w:sz="4" w:space="0" w:color="DADCE0"/>
              <w:left w:val="single" w:sz="4" w:space="0" w:color="DADCE0"/>
              <w:bottom w:val="single" w:sz="4" w:space="0" w:color="DADCE0"/>
              <w:right w:val="single" w:sz="4" w:space="0" w:color="DADCE0"/>
            </w:tcBorders>
          </w:tcPr>
          <w:p>
            <w:pPr>
              <w:spacing w:after="0" w:line="259" w:lineRule="auto"/>
            </w:pPr>
            <w:r/>
            <w:r>
              <w:rPr>
                <w:rFonts w:ascii="Calibri" w:hAnsi="Calibri"/>
                <w:b w:val="0"/>
                <w:color w:val="111827"/>
                <w:sz w:val="18"/>
              </w:rPr>
              <w:t>None for transaction insertion. The live API accepted and persisted the transaction successfully.</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4B5563"/>
        <w:sz w:val="16"/>
      </w:rPr>
      <w:t>NUERS Live API Transaction Test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