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7FA3EF1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prijavljivanja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bilten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D648E17" w14:textId="4CB17BCF" w:rsidR="00922A72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3873" w:history="1">
            <w:r w:rsidR="00922A72" w:rsidRPr="0010625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_Toc98783873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55ABDF45" w14:textId="47156D32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4" w:history="1">
            <w:r w:rsidRPr="00106254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4EE1" w14:textId="0893EC6F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5" w:history="1">
            <w:r w:rsidRPr="0010625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E65" w14:textId="24B91A0B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6" w:history="1">
            <w:r w:rsidRPr="0010625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7EAC" w14:textId="389C6EF3" w:rsidR="00922A72" w:rsidRDefault="00922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7" w:history="1">
            <w:r w:rsidRPr="00106254">
              <w:rPr>
                <w:rStyle w:val="Hyperlink"/>
                <w:rFonts w:ascii="Tahoma" w:hAnsi="Tahoma" w:cs="Tahoma"/>
                <w:b/>
                <w:bCs/>
                <w:noProof/>
              </w:rPr>
              <w:t>2. Scenario prijavljivanja na bilten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4834" w14:textId="39F3D76D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8" w:history="1">
            <w:r w:rsidRPr="00106254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C3D0" w14:textId="15C2AA3F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9" w:history="1">
            <w:r w:rsidRPr="00106254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E2FF" w14:textId="1B0492CB" w:rsidR="00922A72" w:rsidRDefault="00922A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0" w:history="1">
            <w:r w:rsidRPr="0010625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21B6" w14:textId="270364FE" w:rsidR="00922A72" w:rsidRDefault="00922A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1" w:history="1">
            <w:r w:rsidRPr="0010625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0B1F" w14:textId="5E269A71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2" w:history="1">
            <w:r w:rsidRPr="00106254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9374" w14:textId="657E7A32" w:rsidR="00922A72" w:rsidRDefault="00922A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3" w:history="1">
            <w:r w:rsidRPr="00106254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35CAB843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3873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3874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5EFC7425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prijavljivanju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na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bilten</w:t>
      </w:r>
      <w:proofErr w:type="spellEnd"/>
      <w:r w:rsidR="0083212B">
        <w:rPr>
          <w:rFonts w:ascii="Tahoma" w:hAnsi="Tahoma" w:cs="Tahoma"/>
        </w:rPr>
        <w:t xml:space="preserve">, </w:t>
      </w:r>
      <w:proofErr w:type="spellStart"/>
      <w:r w:rsidR="0083212B">
        <w:rPr>
          <w:rFonts w:ascii="Tahoma" w:hAnsi="Tahoma" w:cs="Tahoma"/>
        </w:rPr>
        <w:t>tj</w:t>
      </w:r>
      <w:proofErr w:type="spellEnd"/>
      <w:r w:rsidR="0083212B">
        <w:rPr>
          <w:rFonts w:ascii="Tahoma" w:hAnsi="Tahoma" w:cs="Tahoma"/>
        </w:rPr>
        <w:t xml:space="preserve"> mailing </w:t>
      </w:r>
      <w:proofErr w:type="spellStart"/>
      <w:r w:rsidR="0083212B">
        <w:rPr>
          <w:rFonts w:ascii="Tahoma" w:hAnsi="Tahoma" w:cs="Tahoma"/>
        </w:rPr>
        <w:t>listu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3875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3876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27539AE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3877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821A49">
        <w:rPr>
          <w:rFonts w:ascii="Tahoma" w:hAnsi="Tahoma" w:cs="Tahoma"/>
          <w:b/>
          <w:bCs/>
          <w:u w:val="single"/>
        </w:rPr>
        <w:t>prijavljivanja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na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bilten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3878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1F0949B9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odabrali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primaju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odredjen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mailove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prilikom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registracije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koji bi se </w:t>
      </w:r>
      <w:proofErr w:type="spellStart"/>
      <w:r>
        <w:rPr>
          <w:rFonts w:ascii="Tahoma" w:hAnsi="Tahoma" w:cs="Tahoma"/>
        </w:rPr>
        <w:t>primao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onaj</w:t>
      </w:r>
      <w:proofErr w:type="spellEnd"/>
      <w:r>
        <w:rPr>
          <w:rFonts w:ascii="Tahoma" w:hAnsi="Tahoma" w:cs="Tahoma"/>
        </w:rPr>
        <w:t xml:space="preserve"> koji bi po </w:t>
      </w:r>
      <w:proofErr w:type="spellStart"/>
      <w:r>
        <w:rPr>
          <w:rFonts w:ascii="Tahoma" w:hAnsi="Tahoma" w:cs="Tahoma"/>
        </w:rPr>
        <w:t>kriterijumu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ocena</w:t>
      </w:r>
      <w:proofErr w:type="spellEnd"/>
      <w:r>
        <w:rPr>
          <w:rFonts w:ascii="Tahoma" w:hAnsi="Tahoma" w:cs="Tahoma"/>
        </w:rPr>
        <w:t xml:space="preserve"> bio </w:t>
      </w:r>
      <w:proofErr w:type="spellStart"/>
      <w:r>
        <w:rPr>
          <w:rFonts w:ascii="Tahoma" w:hAnsi="Tahoma" w:cs="Tahoma"/>
        </w:rPr>
        <w:t>odabran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najbolji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nekom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vremenskom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intervalu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3879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3880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45E17DCC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mail </w:t>
      </w:r>
      <w:proofErr w:type="spellStart"/>
      <w:r w:rsidR="00821A49">
        <w:rPr>
          <w:rFonts w:ascii="Tahoma" w:hAnsi="Tahoma" w:cs="Tahoma"/>
        </w:rPr>
        <w:t>adresu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korisnika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i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postavlja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pitanje</w:t>
      </w:r>
      <w:proofErr w:type="spellEnd"/>
      <w:r w:rsidR="007701D7">
        <w:rPr>
          <w:rFonts w:ascii="Tahoma" w:hAnsi="Tahoma" w:cs="Tahoma"/>
        </w:rPr>
        <w:t xml:space="preserve"> da li </w:t>
      </w:r>
      <w:proofErr w:type="spellStart"/>
      <w:r w:rsidR="007701D7">
        <w:rPr>
          <w:rFonts w:ascii="Tahoma" w:hAnsi="Tahoma" w:cs="Tahoma"/>
        </w:rPr>
        <w:t>želi</w:t>
      </w:r>
      <w:proofErr w:type="spellEnd"/>
      <w:r w:rsidR="007701D7">
        <w:rPr>
          <w:rFonts w:ascii="Tahoma" w:hAnsi="Tahoma" w:cs="Tahoma"/>
        </w:rPr>
        <w:t xml:space="preserve"> da se </w:t>
      </w:r>
      <w:proofErr w:type="spellStart"/>
      <w:r w:rsidR="007701D7">
        <w:rPr>
          <w:rFonts w:ascii="Tahoma" w:hAnsi="Tahoma" w:cs="Tahoma"/>
        </w:rPr>
        <w:t>prijavi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na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bilten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777B676F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proverava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29533136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D342CC" w:rsidRPr="004E300C">
        <w:rPr>
          <w:rFonts w:ascii="Tahoma" w:hAnsi="Tahoma" w:cs="Tahoma"/>
        </w:rPr>
        <w:t>ubacuje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3881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64B9F693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prijavljuje</w:t>
      </w:r>
      <w:proofErr w:type="spellEnd"/>
      <w:r w:rsidR="004B60B5">
        <w:rPr>
          <w:rFonts w:ascii="Tahoma" w:hAnsi="Tahoma" w:cs="Tahoma"/>
        </w:rPr>
        <w:t xml:space="preserve"> se </w:t>
      </w:r>
      <w:proofErr w:type="spellStart"/>
      <w:r w:rsidR="004B60B5">
        <w:rPr>
          <w:rFonts w:ascii="Tahoma" w:hAnsi="Tahoma" w:cs="Tahoma"/>
        </w:rPr>
        <w:t>na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bilten</w:t>
      </w:r>
      <w:proofErr w:type="spellEnd"/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3882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3883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5EE3F2F5" w:rsidR="0031315D" w:rsidRPr="004E300C" w:rsidRDefault="00362D4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9DB9" w14:textId="77777777" w:rsidR="00654AFA" w:rsidRDefault="00654AFA" w:rsidP="00CB0A53">
      <w:pPr>
        <w:spacing w:after="0" w:line="240" w:lineRule="auto"/>
      </w:pPr>
      <w:r>
        <w:separator/>
      </w:r>
    </w:p>
  </w:endnote>
  <w:endnote w:type="continuationSeparator" w:id="0">
    <w:p w14:paraId="2B110CB6" w14:textId="77777777" w:rsidR="00654AFA" w:rsidRDefault="00654AFA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477E" w14:textId="77777777" w:rsidR="00654AFA" w:rsidRDefault="00654AFA" w:rsidP="00CB0A53">
      <w:pPr>
        <w:spacing w:after="0" w:line="240" w:lineRule="auto"/>
      </w:pPr>
      <w:r>
        <w:separator/>
      </w:r>
    </w:p>
  </w:footnote>
  <w:footnote w:type="continuationSeparator" w:id="0">
    <w:p w14:paraId="529609C1" w14:textId="77777777" w:rsidR="00654AFA" w:rsidRDefault="00654AFA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4D77"/>
    <w:rsid w:val="00294D98"/>
    <w:rsid w:val="0031315D"/>
    <w:rsid w:val="00362D46"/>
    <w:rsid w:val="0039385E"/>
    <w:rsid w:val="003D5D43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54AFA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22A72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34</cp:revision>
  <dcterms:created xsi:type="dcterms:W3CDTF">2022-03-19T16:51:00Z</dcterms:created>
  <dcterms:modified xsi:type="dcterms:W3CDTF">2022-03-21T18:37:00Z</dcterms:modified>
</cp:coreProperties>
</file>