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Предлагаем поработать с датасетом, в котором собрана информация о покупках недвижимости в штате Коннектикут с 2014 по 2020 год. В датасете присутствуют колонки: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“#” - номер строки в датасете;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“Serial Number” - номер транзакции;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“List Year” - год, с которым связана транзакция (начало действий по покупке);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“Date Recorded” - дата фактического совершения транзакции;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“Town” - город, в котором находится недвижимость;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“Address” - адрес недвижимости;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“Assessed Value” - оценочная стоимость недвижимости;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“Sale Amount” - фактическая цена, за которую продали недвижимость;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“Sales Ratio” - отношение фактической цены к оценочной;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“Property Type” - тип собственности;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“Residential Type” - тип жилья;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“Non Use Code” - специфическое предназначение жилья;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“Assessor Remark” - заметка оценщика;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OPM remarks” - заметка офиса, подтверждающего возможность покупки недвижимости;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“Location” - геопозиция недвижимости.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