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포장 및 표시 관리 (Packaging &amp; Labeling Control) - 개정본</w:t>
      </w:r>
    </w:p>
    <w:p>
      <w:r>
        <w:t>본 문서는 21 CFR Part 211 Subpart G (2015년 개정판)을 반영하여 작성된 개정 SOP입니다.</w:t>
        <w:br/>
      </w:r>
    </w:p>
    <w:p>
      <w:pPr>
        <w:pStyle w:val="Heading1"/>
      </w:pPr>
      <w:r>
        <w:t>SOP Section 1</w:t>
      </w:r>
    </w:p>
    <w:p>
      <w:r>
        <w:t>1. 목적</w:t>
        <w:br/>
        <w:t>본 절차서는 21 CFR Part 211 Subpart G (2009년판 §211.122 ~ §211.137)에 근거하여 의약품 포장 및 표시 관리 절차를 규정하여 혼입, 오표시, 위조를 방지하고 환자 안전을 보장하는 것을 목적으로 한다.</w:t>
      </w:r>
    </w:p>
    <w:p>
      <w:pPr>
        <w:pStyle w:val="Heading2"/>
      </w:pPr>
      <w:r>
        <w:t>개정 반영 사항</w:t>
      </w:r>
    </w:p>
    <w:p>
      <w:pPr>
        <w:pStyle w:val="ListBullet"/>
      </w:pPr>
      <w:r>
        <w:t>- Subpart G SOP §1에 211.204 요구를 통합: 반품/회수/구제의 정의·판정·승인 주체(QA), 기록·보존기간, 라벨/재포장/재가공 조건, 분배·추적·리콜 연계 및 조사/보고 절차 명시.</w:t>
      </w:r>
    </w:p>
    <w:p>
      <w:pPr>
        <w:pStyle w:val="ListBullet"/>
      </w:pPr>
      <w:r>
        <w:t>- Subpart G SOP §1에 211.208 요구를 통합: 반품/회수/구제의 정의·판정·승인 주체(QA), 기록·보존기간, 라벨/재포장/재가공 조건, 분배·추적·리콜 연계 및 조사/보고 절차 명시.</w:t>
      </w:r>
    </w:p>
    <w:p>
      <w:pPr>
        <w:pStyle w:val="ListBullet"/>
      </w:pPr>
      <w:r>
        <w:t>- 수령·검수·승인 전 격리, 라벨·포장자재의 검증·보관·배포 통제 및 기록 절차를 보강.</w:t>
      </w:r>
    </w:p>
    <w:p>
      <w:pPr>
        <w:pStyle w:val="Heading1"/>
      </w:pPr>
      <w:r>
        <w:t>SOP Section 3</w:t>
      </w:r>
    </w:p>
    <w:p>
      <w:r>
        <w:t>- 샘플 라벨(Sample Label): 라벨 검증 및 보관을 위해 대표로 채취한 라벨.</w:t>
        <w:br/>
        <w:t>- 혼입(Mix-up): 다른 제품이나 라벨이 잘못 사용되는 것.</w:t>
      </w:r>
    </w:p>
    <w:p>
      <w:pPr>
        <w:pStyle w:val="Heading2"/>
      </w:pPr>
      <w:r>
        <w:t>개정 반영 사항</w:t>
      </w:r>
    </w:p>
    <w:p>
      <w:pPr>
        <w:pStyle w:val="ListBullet"/>
      </w:pPr>
      <w:r>
        <w:t>- 라벨 부착 장치 설정/검증/점검·기록 절차와 이상 시 처리 기준을 SOP에 추가.</w:t>
      </w:r>
    </w:p>
    <w:p>
      <w:pPr>
        <w:pStyle w:val="Heading1"/>
      </w:pPr>
      <w:r>
        <w:t>SOP Section 4</w:t>
      </w:r>
    </w:p>
    <w:p>
      <w:r>
        <w:t>- QA 부서는 라벨 발행, 회수, 사용량을 검토하고 포장기록을 승인한다.</w:t>
        <w:br/>
        <w:t>- QC 부서는 라벨의 인쇄 상태, 정확성 및 적합성을 시험한다.</w:t>
        <w:br/>
        <w:t>- QCU는 최종 승인 권한을 가진다.</w:t>
      </w:r>
    </w:p>
    <w:p>
      <w:pPr>
        <w:pStyle w:val="Heading2"/>
      </w:pPr>
      <w:r>
        <w:t>개정 반영 사항</w:t>
      </w:r>
    </w:p>
    <w:p>
      <w:pPr>
        <w:pStyle w:val="ListBullet"/>
      </w:pPr>
      <w:r>
        <w:t>- 발행대장, 교차오염 방지, 라벨 수량 조정(Reconciliation) 및 이중 확인 절차를 강화.</w:t>
      </w:r>
    </w:p>
    <w:p>
      <w:pPr>
        <w:pStyle w:val="ListBullet"/>
      </w:pPr>
      <w:r>
        <w:t>- 특정 제품군의 주의문구 적용 기준과 리콜 시 라벨 조치 절차를 SOP에 명시.</w:t>
      </w:r>
    </w:p>
    <w:p>
      <w:pPr>
        <w:pStyle w:val="Heading1"/>
      </w:pPr>
      <w:r>
        <w:t>SOP Section 5</w:t>
      </w:r>
    </w:p>
    <w:p>
      <w:r>
        <w:t>5.5 유효기간 관리</w:t>
        <w:br/>
        <w:t>- 라벨에는 유효기간을 명확히 표시해야 하며, 변경 시 QA 승인 후 반영한다.</w:t>
        <w:br/>
        <w:t>- 유효기간 면제 조건은 §211.137 규정을 따른다.</w:t>
      </w:r>
    </w:p>
    <w:p>
      <w:pPr>
        <w:pStyle w:val="Heading2"/>
      </w:pPr>
      <w:r>
        <w:t>개정 반영 사항</w:t>
      </w:r>
    </w:p>
    <w:p>
      <w:pPr>
        <w:pStyle w:val="ListBullet"/>
      </w:pPr>
      <w:r>
        <w:t>- 유효기간 산정/표시 기준, 재포장·재라벨링 조건과 승인·기록 절차를 명확화.</w:t>
      </w:r>
    </w:p>
    <w:p>
      <w:pPr>
        <w:pStyle w:val="ListBullet"/>
      </w:pPr>
      <w:r>
        <w:t>- 라인 클리어런스 기준, 포장검증(샘플링/기록), 라벨 혼입 방지 통제를 명확화.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