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Auditoría de Datos</w:t>
      </w:r>
    </w:p>
    <w:p>
      <w:pPr>
        <w:pStyle w:val="Subtitle"/>
      </w:pPr>
      <w:r>
        <w:t xml:space="preserve">Consistencia TAG ↔ OT — Sistema ZEUES (Producción)</w:t>
      </w:r>
    </w:p>
    <w:p>
      <w:pPr>
        <w:pStyle w:val="Date"/>
      </w:pPr>
      <w:r>
        <w:t xml:space="preserve">5 de junio de 2026</w:t>
      </w:r>
    </w:p>
    <w:bookmarkStart w:id="9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Se realizó una auditoría de solo lectura sobre la planilla de producción del sistema ZEUES</w:t>
      </w:r>
      <w:r>
        <w:t xml:space="preserve"> </w:t>
      </w:r>
      <w:r>
        <w:t xml:space="preserve">(</w:t>
      </w:r>
      <w:r>
        <w:rPr>
          <w:rStyle w:val="VerbatimChar"/>
        </w:rPr>
        <w:t xml:space="preserve">__Kronos_Registro_Piping R04</w:t>
      </w:r>
      <w:r>
        <w:t xml:space="preserve">) con el objetivo de verificar la integridad de la relación</w:t>
      </w:r>
      <w:r>
        <w:t xml:space="preserve"> </w:t>
      </w:r>
      <w:r>
        <w:t xml:space="preserve">entre el identificador de spool (</w:t>
      </w:r>
      <w:r>
        <w:rPr>
          <w:b/>
          <w:bCs/>
        </w:rPr>
        <w:t xml:space="preserve">TAG</w:t>
      </w:r>
      <w:r>
        <w:t xml:space="preserve">) y la orden de trabajo (</w:t>
      </w:r>
      <w:r>
        <w:rPr>
          <w:b/>
          <w:bCs/>
        </w:rPr>
        <w:t xml:space="preserve">OT</w:t>
      </w:r>
      <w:r>
        <w:t xml:space="preserve">) en las hojas</w:t>
      </w:r>
      <w:r>
        <w:t xml:space="preserve"> </w:t>
      </w:r>
      <w:r>
        <w:rPr>
          <w:b/>
          <w:bCs/>
        </w:rPr>
        <w:t xml:space="preserve">Operaciones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Uniones</w:t>
      </w:r>
      <w:r>
        <w:t xml:space="preserve">.</w:t>
      </w:r>
    </w:p>
    <w:p>
      <w:pPr>
        <w:pStyle w:val="BodyText"/>
      </w:pPr>
      <w:r>
        <w:t xml:space="preserve">La auditoría comparó 1.993 filas de la hoja Operaciones contra 1.002 filas de la hoja Uniones.</w:t>
      </w:r>
      <w:r>
        <w:t xml:space="preserve"> </w:t>
      </w:r>
      <w:r>
        <w:t xml:space="preserve">Se detectaron inconsistencias</w:t>
      </w:r>
      <w:r>
        <w:t xml:space="preserve"> </w:t>
      </w:r>
      <w:r>
        <w:rPr>
          <w:b/>
          <w:bCs/>
        </w:rPr>
        <w:t xml:space="preserve">acotadas y con patrón identificable</w:t>
      </w:r>
      <w:r>
        <w:t xml:space="preserve">, no errores dispersos.</w:t>
      </w:r>
      <w:r>
        <w:t xml:space="preserve"> </w:t>
      </w:r>
      <w:r>
        <w:t xml:space="preserve">La causa raíz es única y sistémica:</w:t>
      </w:r>
      <w:r>
        <w:t xml:space="preserve"> </w:t>
      </w:r>
      <w:r>
        <w:rPr>
          <w:b/>
          <w:bCs/>
        </w:rPr>
        <w:t xml:space="preserve">no existe un control de integridad que mantenga</w:t>
      </w:r>
      <w:r>
        <w:rPr>
          <w:b/>
          <w:bCs/>
        </w:rPr>
        <w:t xml:space="preserve"> </w:t>
      </w:r>
      <w:r>
        <w:rPr>
          <w:b/>
          <w:bCs/>
        </w:rPr>
        <w:t xml:space="preserve">sincronizado el valor de OT entre ambas hojas</w:t>
      </w:r>
      <w:r>
        <w:t xml:space="preserve">, las cuales se mantienen de forma manual.</w:t>
      </w:r>
    </w:p>
    <w:p>
      <w:pPr>
        <w:pStyle w:val="BodyText"/>
      </w:pPr>
      <w:r>
        <w:rPr>
          <w:b/>
          <w:bCs/>
        </w:rPr>
        <w:t xml:space="preserve">Conclusión principal:</w:t>
      </w:r>
      <w:r>
        <w:t xml:space="preserve"> </w:t>
      </w:r>
      <w:r>
        <w:t xml:space="preserve">las inconsistencias son</w:t>
      </w:r>
      <w:r>
        <w:t xml:space="preserve"> </w:t>
      </w:r>
      <w:r>
        <w:rPr>
          <w:b/>
          <w:bCs/>
        </w:rPr>
        <w:t xml:space="preserve">predecibles</w:t>
      </w:r>
      <w:r>
        <w:t xml:space="preserve"> </w:t>
      </w:r>
      <w:r>
        <w:t xml:space="preserve">y se concentran en dos</w:t>
      </w:r>
      <w:r>
        <w:t xml:space="preserve"> </w:t>
      </w:r>
      <w:r>
        <w:t xml:space="preserve">proyectos puntuales (1923 y 2610). No se originan en un defecto del software, sino en</w:t>
      </w:r>
      <w:r>
        <w:t xml:space="preserve"> </w:t>
      </w:r>
      <w:r>
        <w:t xml:space="preserve">ediciones manuales de una hoja que no se propagaron a la otra.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Uniones: un TAG asociado a más de una OT</w:t>
            </w:r>
          </w:p>
        </w:tc>
        <w:tc>
          <w:tcPr/>
          <w:p>
            <w:pPr>
              <w:pStyle w:val="Compact"/>
            </w:pPr>
            <w:r>
              <w:t xml:space="preserve">Sin hallazgos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Operaciones: un TAG asociado a más de una OT</w:t>
            </w:r>
          </w:p>
        </w:tc>
        <w:tc>
          <w:tcPr/>
          <w:p>
            <w:pPr>
              <w:pStyle w:val="Compact"/>
            </w:pPr>
            <w:r>
              <w:t xml:space="preserve">6 casos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Operaciones: filas con OT vacía</w:t>
            </w:r>
          </w:p>
        </w:tc>
        <w:tc>
          <w:tcPr/>
          <w:p>
            <w:pPr>
              <w:pStyle w:val="Compact"/>
            </w:pPr>
            <w:r>
              <w:t xml:space="preserve">675 filas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Discordancia de OT para el mismo TAG entre hojas</w:t>
            </w:r>
          </w:p>
        </w:tc>
        <w:tc>
          <w:tcPr/>
          <w:p>
            <w:pPr>
              <w:pStyle w:val="Compact"/>
            </w:pPr>
            <w:r>
              <w:t xml:space="preserve">15 casos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en Uniones sin spool correspondiente en Operaciones</w:t>
            </w:r>
          </w:p>
        </w:tc>
        <w:tc>
          <w:tcPr/>
          <w:p>
            <w:pPr>
              <w:pStyle w:val="Compact"/>
            </w:pPr>
            <w:r>
              <w:t xml:space="preserve">16 casos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Spools en Operaciones sin uniones registradas (informativo)</w:t>
            </w:r>
          </w:p>
        </w:tc>
        <w:tc>
          <w:tcPr/>
          <w:p>
            <w:pPr>
              <w:pStyle w:val="Compact"/>
            </w:pPr>
            <w:r>
              <w:t xml:space="preserve">1.665</w:t>
            </w:r>
          </w:p>
        </w:tc>
      </w:tr>
    </w:tbl>
    <w:bookmarkEnd w:id="9"/>
    <w:bookmarkStart w:id="10" w:name="alcance-y-método"/>
    <w:p>
      <w:pPr>
        <w:pStyle w:val="Heading1"/>
      </w:pPr>
      <w:r>
        <w:t xml:space="preserve">2. Alcance y método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Fuente:</w:t>
      </w:r>
      <w:r>
        <w:t xml:space="preserve"> </w:t>
      </w:r>
      <w:r>
        <w:t xml:space="preserve">planilla de producción de Kronos (datos reales).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de intervención:</w:t>
      </w:r>
      <w:r>
        <w:t xml:space="preserve"> </w:t>
      </w:r>
      <w:r>
        <w:t xml:space="preserve">solo lectura. No se modificó ningún dato.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Comparación realizada:</w:t>
      </w:r>
      <w:r>
        <w:t xml:space="preserve"> </w:t>
      </w:r>
      <w:r>
        <w:t xml:space="preserve">valor de la columna OT en Operaciones contra el valor de la</w:t>
      </w:r>
      <w:r>
        <w:t xml:space="preserve"> </w:t>
      </w:r>
      <w:r>
        <w:t xml:space="preserve">columna OT en Uniones, para cada spool identificado por su TAG.</w:t>
      </w:r>
    </w:p>
    <w:p>
      <w:pPr>
        <w:pStyle w:val="FirstParagraph"/>
      </w:pPr>
      <w:r>
        <w:rPr>
          <w:b/>
          <w:bCs/>
        </w:rPr>
        <w:t xml:space="preserve">Observación estructural relevante:</w:t>
      </w:r>
      <w:r>
        <w:t xml:space="preserve"> </w:t>
      </w:r>
      <w:r>
        <w:t xml:space="preserve">la columna que contiene el tag del spool tiene un</w:t>
      </w:r>
      <w:r>
        <w:t xml:space="preserve"> </w:t>
      </w:r>
      <w:r>
        <w:t xml:space="preserve">nombre distinto en cada hoja —se denomina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en Operaciones y</w:t>
      </w:r>
      <w:r>
        <w:t xml:space="preserve"> </w:t>
      </w:r>
      <w:r>
        <w:rPr>
          <w:b/>
          <w:bCs/>
        </w:rPr>
        <w:t xml:space="preserve">TAG_SPOOL</w:t>
      </w:r>
      <w:r>
        <w:t xml:space="preserve"> </w:t>
      </w:r>
      <w:r>
        <w:t xml:space="preserve">en Uniones—.</w:t>
      </w:r>
      <w:r>
        <w:t xml:space="preserve"> </w:t>
      </w:r>
      <w:r>
        <w:t xml:space="preserve">Asimismo, la columna OT no contiene un número de orden simple, sino un código compuesto del</w:t>
      </w:r>
      <w:r>
        <w:t xml:space="preserve"> </w:t>
      </w:r>
      <w:r>
        <w:t xml:space="preserve">tipo</w:t>
      </w:r>
      <w:r>
        <w:t xml:space="preserve"> </w:t>
      </w:r>
      <w:r>
        <w:rPr>
          <w:rStyle w:val="VerbatimChar"/>
        </w:rPr>
        <w:t xml:space="preserve">SP-10114-NV0642</w:t>
      </w:r>
      <w:r>
        <w:t xml:space="preserve">, que incorpora el número interno de spool y el número de nota de venta</w:t>
      </w:r>
      <w:r>
        <w:t xml:space="preserve"> </w:t>
      </w:r>
      <w:r>
        <w:t xml:space="preserve">(NV). Se recomienda confirmar la semántica esperada de estas columnas.</w:t>
      </w:r>
    </w:p>
    <w:bookmarkEnd w:id="10"/>
    <w:bookmarkStart w:id="17" w:name="hallazgos-detallados"/>
    <w:p>
      <w:pPr>
        <w:pStyle w:val="Heading1"/>
      </w:pPr>
      <w:r>
        <w:t xml:space="preserve">3. Hallazgos detallados</w:t>
      </w:r>
    </w:p>
    <w:bookmarkStart w:id="13" w:name="X1f9a26e39c151a6bd3295cc556f8945e275f203"/>
    <w:p>
      <w:pPr>
        <w:pStyle w:val="Heading2"/>
      </w:pPr>
      <w:r>
        <w:t xml:space="preserve">3.1 Discordancia de OT entre Operaciones y Uniones (15 casos)</w:t>
      </w:r>
    </w:p>
    <w:p>
      <w:pPr>
        <w:pStyle w:val="FirstParagraph"/>
      </w:pPr>
      <w:r>
        <w:t xml:space="preserve">Son los hallazgos más relevantes: el mismo spool figura con una OT en Operaciones y otra</w:t>
      </w:r>
      <w:r>
        <w:t xml:space="preserve"> </w:t>
      </w:r>
      <w:r>
        <w:t xml:space="preserve">distinta en Uniones. Se agrupan en dos patrones claros.</w:t>
      </w:r>
    </w:p>
    <w:bookmarkStart w:id="11" w:name="X2776bb8742681933e4e6312e580cf01777a39ef"/>
    <w:p>
      <w:pPr>
        <w:pStyle w:val="Heading3"/>
      </w:pPr>
      <w:r>
        <w:t xml:space="preserve">Grupo A — Proyecto MK-1923: difiere el número de nota de venta (NV)</w:t>
      </w:r>
    </w:p>
    <w:p>
      <w:pPr>
        <w:pStyle w:val="FirstParagraph"/>
      </w:pPr>
      <w:r>
        <w:t xml:space="preserve">En Operaciones la NV es</w:t>
      </w:r>
      <w:r>
        <w:t xml:space="preserve"> </w:t>
      </w:r>
      <w:r>
        <w:rPr>
          <w:rStyle w:val="VerbatimChar"/>
        </w:rPr>
        <w:t xml:space="preserve">NV0642</w:t>
      </w:r>
      <w:r>
        <w:t xml:space="preserve">; en Uniones aparece como</w:t>
      </w:r>
      <w:r>
        <w:t xml:space="preserve"> </w:t>
      </w:r>
      <w:r>
        <w:rPr>
          <w:rStyle w:val="VerbatimChar"/>
        </w:rPr>
        <w:t xml:space="preserve">NV0643</w:t>
      </w:r>
      <w:r>
        <w:t xml:space="preserve">,</w:t>
      </w:r>
      <w:r>
        <w:t xml:space="preserve"> </w:t>
      </w:r>
      <w:r>
        <w:rPr>
          <w:rStyle w:val="VerbatimChar"/>
        </w:rPr>
        <w:t xml:space="preserve">NV0644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NV0647</w:t>
      </w:r>
      <w:r>
        <w:t xml:space="preserve">.</w:t>
      </w:r>
      <w:r>
        <w:t xml:space="preserve"> </w:t>
      </w:r>
      <w:r>
        <w:t xml:space="preserve">El resto del código coincide, lo que indica una edición posterior en una sola de las hojas.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OT en Operaciones</w:t>
            </w:r>
          </w:p>
        </w:tc>
        <w:tc>
          <w:tcPr/>
          <w:p>
            <w:pPr>
              <w:pStyle w:val="Compact"/>
            </w:pPr>
            <w:r>
              <w:t xml:space="preserve">OT en Uniones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MK-1923-TW-17422-003</w:t>
            </w:r>
          </w:p>
        </w:tc>
        <w:tc>
          <w:tcPr/>
          <w:p>
            <w:pPr>
              <w:pStyle w:val="Compact"/>
            </w:pPr>
            <w:r>
              <w:t xml:space="preserve">SP-10114-NV0642</w:t>
            </w:r>
          </w:p>
        </w:tc>
        <w:tc>
          <w:tcPr/>
          <w:p>
            <w:pPr>
              <w:pStyle w:val="Compact"/>
            </w:pPr>
            <w:r>
              <w:t xml:space="preserve">SP-10114-NV0643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MK-1923-TW-17422-004</w:t>
            </w:r>
          </w:p>
        </w:tc>
        <w:tc>
          <w:tcPr/>
          <w:p>
            <w:pPr>
              <w:pStyle w:val="Compact"/>
            </w:pPr>
            <w:r>
              <w:t xml:space="preserve">SP-10115-NV0642</w:t>
            </w:r>
          </w:p>
        </w:tc>
        <w:tc>
          <w:tcPr/>
          <w:p>
            <w:pPr>
              <w:pStyle w:val="Compact"/>
            </w:pPr>
            <w:r>
              <w:t xml:space="preserve">SP-10115-NV0643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MK-1923-TW-17422-005</w:t>
            </w:r>
          </w:p>
        </w:tc>
        <w:tc>
          <w:tcPr/>
          <w:p>
            <w:pPr>
              <w:pStyle w:val="Compact"/>
            </w:pPr>
            <w:r>
              <w:t xml:space="preserve">SP-10116-NV0642</w:t>
            </w:r>
          </w:p>
        </w:tc>
        <w:tc>
          <w:tcPr/>
          <w:p>
            <w:pPr>
              <w:pStyle w:val="Compact"/>
            </w:pPr>
            <w:r>
              <w:t xml:space="preserve">SP-10116-NV0644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MK-1923-TW-34059-006</w:t>
            </w:r>
          </w:p>
        </w:tc>
        <w:tc>
          <w:tcPr/>
          <w:p>
            <w:pPr>
              <w:pStyle w:val="Compact"/>
            </w:pPr>
            <w:r>
              <w:t xml:space="preserve">SP-10125-NV0642</w:t>
            </w:r>
          </w:p>
        </w:tc>
        <w:tc>
          <w:tcPr/>
          <w:p>
            <w:pPr>
              <w:pStyle w:val="Compact"/>
            </w:pPr>
            <w:r>
              <w:t xml:space="preserve">SP-10125-NV0647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MK-1923-TW-34059-009</w:t>
            </w:r>
          </w:p>
        </w:tc>
        <w:tc>
          <w:tcPr/>
          <w:p>
            <w:pPr>
              <w:pStyle w:val="Compact"/>
            </w:pPr>
            <w:r>
              <w:t xml:space="preserve">SP-10127-NV0642</w:t>
            </w:r>
          </w:p>
        </w:tc>
        <w:tc>
          <w:tcPr/>
          <w:p>
            <w:pPr>
              <w:pStyle w:val="Compact"/>
            </w:pPr>
            <w:r>
              <w:t xml:space="preserve">SP-10127-NV0647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MK-1923-TW-34059-010</w:t>
            </w:r>
          </w:p>
        </w:tc>
        <w:tc>
          <w:tcPr/>
          <w:p>
            <w:pPr>
              <w:pStyle w:val="Compact"/>
            </w:pPr>
            <w:r>
              <w:t xml:space="preserve">SP-10128-NV0642</w:t>
            </w:r>
          </w:p>
        </w:tc>
        <w:tc>
          <w:tcPr/>
          <w:p>
            <w:pPr>
              <w:pStyle w:val="Compact"/>
            </w:pPr>
            <w:r>
              <w:t xml:space="preserve">SP-10128-NV0647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MK-1923-TW-34059-011</w:t>
            </w:r>
          </w:p>
        </w:tc>
        <w:tc>
          <w:tcPr/>
          <w:p>
            <w:pPr>
              <w:pStyle w:val="Compact"/>
            </w:pPr>
            <w:r>
              <w:t xml:space="preserve">SP-10126-NV0642</w:t>
            </w:r>
          </w:p>
        </w:tc>
        <w:tc>
          <w:tcPr/>
          <w:p>
            <w:pPr>
              <w:pStyle w:val="Compact"/>
            </w:pPr>
            <w:r>
              <w:t xml:space="preserve">SP-10126-NV0647</w:t>
            </w:r>
          </w:p>
        </w:tc>
      </w:tr>
    </w:tbl>
    <w:bookmarkEnd w:id="11"/>
    <w:bookmarkStart w:id="12" w:name="X6d42fb4550d95b777801703b47bc365c2def058"/>
    <w:p>
      <w:pPr>
        <w:pStyle w:val="Heading3"/>
      </w:pPr>
      <w:r>
        <w:t xml:space="preserve">Grupo B — Proyecto 2610: difiere el número interno de spool (SP)</w:t>
      </w:r>
    </w:p>
    <w:p>
      <w:pPr>
        <w:pStyle w:val="FirstParagraph"/>
      </w:pPr>
      <w:r>
        <w:t xml:space="preserve">La NV coincide en ambas hojas (</w:t>
      </w:r>
      <w:r>
        <w:rPr>
          <w:rStyle w:val="VerbatimChar"/>
        </w:rPr>
        <w:t xml:space="preserve">NV0661</w:t>
      </w:r>
      <w:r>
        <w:t xml:space="preserve">), pero el número interno</w:t>
      </w:r>
      <w:r>
        <w:t xml:space="preserve"> </w:t>
      </w:r>
      <w:r>
        <w:rPr>
          <w:rStyle w:val="VerbatimChar"/>
        </w:rPr>
        <w:t xml:space="preserve">SP-#####</w:t>
      </w:r>
      <w:r>
        <w:t xml:space="preserve"> </w:t>
      </w:r>
      <w:r>
        <w:t xml:space="preserve">es distinto.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OT en Operaciones</w:t>
            </w:r>
          </w:p>
        </w:tc>
        <w:tc>
          <w:tcPr/>
          <w:p>
            <w:pPr>
              <w:pStyle w:val="Compact"/>
            </w:pPr>
            <w:r>
              <w:t xml:space="preserve">OT en Uniones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2610-SP-32301</w:t>
            </w:r>
          </w:p>
        </w:tc>
        <w:tc>
          <w:tcPr/>
          <w:p>
            <w:pPr>
              <w:pStyle w:val="Compact"/>
            </w:pPr>
            <w:r>
              <w:t xml:space="preserve">SP-10571-NV0661</w:t>
            </w:r>
          </w:p>
        </w:tc>
        <w:tc>
          <w:tcPr/>
          <w:p>
            <w:pPr>
              <w:pStyle w:val="Compact"/>
            </w:pPr>
            <w:r>
              <w:t xml:space="preserve">SP-10477-NV0661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2610-SP-32302</w:t>
            </w:r>
          </w:p>
        </w:tc>
        <w:tc>
          <w:tcPr/>
          <w:p>
            <w:pPr>
              <w:pStyle w:val="Compact"/>
            </w:pPr>
            <w:r>
              <w:t xml:space="preserve">SP-10572-NV0661</w:t>
            </w:r>
          </w:p>
        </w:tc>
        <w:tc>
          <w:tcPr/>
          <w:p>
            <w:pPr>
              <w:pStyle w:val="Compact"/>
            </w:pPr>
            <w:r>
              <w:t xml:space="preserve">SP-10478-NV0661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2610-SP-32311</w:t>
            </w:r>
          </w:p>
        </w:tc>
        <w:tc>
          <w:tcPr/>
          <w:p>
            <w:pPr>
              <w:pStyle w:val="Compact"/>
            </w:pPr>
            <w:r>
              <w:t xml:space="preserve">SP-10568-NV0661</w:t>
            </w:r>
          </w:p>
        </w:tc>
        <w:tc>
          <w:tcPr/>
          <w:p>
            <w:pPr>
              <w:pStyle w:val="Compact"/>
            </w:pPr>
            <w:r>
              <w:t xml:space="preserve">SP-10488-NV0661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2610-SP-32316</w:t>
            </w:r>
          </w:p>
        </w:tc>
        <w:tc>
          <w:tcPr/>
          <w:p>
            <w:pPr>
              <w:pStyle w:val="Compact"/>
            </w:pPr>
            <w:r>
              <w:t xml:space="preserve">SP-10553-NV0661</w:t>
            </w:r>
          </w:p>
        </w:tc>
        <w:tc>
          <w:tcPr/>
          <w:p>
            <w:pPr>
              <w:pStyle w:val="Compact"/>
            </w:pPr>
            <w:r>
              <w:t xml:space="preserve">SP-10493-NV0661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2610-SP-32318</w:t>
            </w:r>
          </w:p>
        </w:tc>
        <w:tc>
          <w:tcPr/>
          <w:p>
            <w:pPr>
              <w:pStyle w:val="Compact"/>
            </w:pPr>
            <w:r>
              <w:t xml:space="preserve">SP-10548-NV0661</w:t>
            </w:r>
          </w:p>
        </w:tc>
        <w:tc>
          <w:tcPr/>
          <w:p>
            <w:pPr>
              <w:pStyle w:val="Compact"/>
            </w:pPr>
            <w:r>
              <w:t xml:space="preserve">SP-10495-NV0661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2610-SP-32319</w:t>
            </w:r>
          </w:p>
        </w:tc>
        <w:tc>
          <w:tcPr/>
          <w:p>
            <w:pPr>
              <w:pStyle w:val="Compact"/>
            </w:pPr>
            <w:r>
              <w:t xml:space="preserve">SP-10569-NV0661</w:t>
            </w:r>
          </w:p>
        </w:tc>
        <w:tc>
          <w:tcPr/>
          <w:p>
            <w:pPr>
              <w:pStyle w:val="Compact"/>
            </w:pPr>
            <w:r>
              <w:t xml:space="preserve">SP-10496-NV0661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2610-SP-32326</w:t>
            </w:r>
          </w:p>
        </w:tc>
        <w:tc>
          <w:tcPr/>
          <w:p>
            <w:pPr>
              <w:pStyle w:val="Compact"/>
            </w:pPr>
            <w:r>
              <w:t xml:space="preserve">SP-10555 / SP-10574-NV0661</w:t>
            </w:r>
          </w:p>
        </w:tc>
        <w:tc>
          <w:tcPr/>
          <w:p>
            <w:pPr>
              <w:pStyle w:val="Compact"/>
            </w:pPr>
            <w:r>
              <w:t xml:space="preserve">SP-10503-NV0661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2610-SP-32327</w:t>
            </w:r>
          </w:p>
        </w:tc>
        <w:tc>
          <w:tcPr/>
          <w:p>
            <w:pPr>
              <w:pStyle w:val="Compact"/>
            </w:pPr>
            <w:r>
              <w:t xml:space="preserve">SP-10573-NV0661</w:t>
            </w:r>
          </w:p>
        </w:tc>
        <w:tc>
          <w:tcPr/>
          <w:p>
            <w:pPr>
              <w:pStyle w:val="Compact"/>
            </w:pPr>
            <w:r>
              <w:t xml:space="preserve">SP-10504-NV0661</w:t>
            </w:r>
          </w:p>
        </w:tc>
      </w:tr>
    </w:tbl>
    <w:bookmarkEnd w:id="12"/>
    <w:bookmarkEnd w:id="13"/>
    <w:bookmarkStart w:id="14" w:name="X9ddeb3dddc5a5a830361908603f2714866b1aa1"/>
    <w:p>
      <w:pPr>
        <w:pStyle w:val="Heading2"/>
      </w:pPr>
      <w:r>
        <w:t xml:space="preserve">3.2 Spools con más de una OT en Operaciones (6 casos)</w:t>
      </w:r>
    </w:p>
    <w:p>
      <w:pPr>
        <w:pStyle w:val="FirstParagraph"/>
      </w:pPr>
      <w:r>
        <w:t xml:space="preserve">El mismo TAG aparece en distintas filas de Operaciones con OT contradictoria.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OT en conflicto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3-ECU-049</w:t>
            </w:r>
          </w:p>
        </w:tc>
        <w:tc>
          <w:tcPr/>
          <w:p>
            <w:pPr>
              <w:pStyle w:val="Compact"/>
            </w:pPr>
            <w:r>
              <w:t xml:space="preserve">SP-10056-NV0620 / SP-10056-NV0620R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3-ECU-060</w:t>
            </w:r>
          </w:p>
        </w:tc>
        <w:tc>
          <w:tcPr/>
          <w:p>
            <w:pPr>
              <w:pStyle w:val="Compact"/>
            </w:pPr>
            <w:r>
              <w:t xml:space="preserve">SP-10057-NV0620 / SP-10057-NV0620R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01</w:t>
            </w:r>
          </w:p>
        </w:tc>
        <w:tc>
          <w:tcPr/>
          <w:p>
            <w:pPr>
              <w:pStyle w:val="Compact"/>
            </w:pPr>
            <w:r>
              <w:t xml:space="preserve">KM-NV0574-0001 / 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02</w:t>
            </w:r>
          </w:p>
        </w:tc>
        <w:tc>
          <w:tcPr/>
          <w:p>
            <w:pPr>
              <w:pStyle w:val="Compact"/>
            </w:pPr>
            <w:r>
              <w:t xml:space="preserve">KM-NV0574-0001 / 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2610-SP-32326</w:t>
            </w:r>
          </w:p>
        </w:tc>
        <w:tc>
          <w:tcPr/>
          <w:p>
            <w:pPr>
              <w:pStyle w:val="Compact"/>
            </w:pPr>
            <w:r>
              <w:t xml:space="preserve">SP-10555-NV0661 / SP-10574-NV0661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 2610-SP-32333-E</w:t>
            </w:r>
          </w:p>
        </w:tc>
        <w:tc>
          <w:tcPr/>
          <w:p>
            <w:pPr>
              <w:pStyle w:val="Compact"/>
            </w:pPr>
            <w:r>
              <w:t xml:space="preserve">SP-10510-NV0661 / SP-10511-NV0661</w:t>
            </w:r>
          </w:p>
        </w:tc>
      </w:tr>
    </w:tbl>
    <w:p>
      <w:pPr>
        <w:pStyle w:val="BodyText"/>
      </w:pPr>
      <w:r>
        <w:t xml:space="preserve">Los casos</w:t>
      </w:r>
      <w:r>
        <w:t xml:space="preserve"> </w:t>
      </w:r>
      <w:r>
        <w:rPr>
          <w:rStyle w:val="VerbatimChar"/>
        </w:rPr>
        <w:t xml:space="preserve">3-ECU-*</w:t>
      </w:r>
      <w:r>
        <w:t xml:space="preserve"> </w:t>
      </w:r>
      <w:r>
        <w:t xml:space="preserve">parecen corresponder al mismo spool con un sufijo de revisión (</w:t>
      </w:r>
      <w:r>
        <w:rPr>
          <w:rStyle w:val="VerbatimChar"/>
        </w:rPr>
        <w:t xml:space="preserve">R</w:t>
      </w:r>
      <w:r>
        <w:t xml:space="preserve">).</w:t>
      </w:r>
      <w:r>
        <w:t xml:space="preserve"> </w:t>
      </w:r>
      <w:r>
        <w:rPr>
          <w:rStyle w:val="VerbatimChar"/>
        </w:rPr>
        <w:t xml:space="preserve">Spool 01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Spool 02</w:t>
      </w:r>
      <w:r>
        <w:t xml:space="preserve"> </w:t>
      </w:r>
      <w:r>
        <w:t xml:space="preserve">presentan una fila con OT válida y otra con el valor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bookmarkEnd w:id="14"/>
    <w:bookmarkStart w:id="15" w:name="X7bb38fcf726194d1ebbef87891d799ea890d87e"/>
    <w:p>
      <w:pPr>
        <w:pStyle w:val="Heading2"/>
      </w:pPr>
      <w:r>
        <w:t xml:space="preserve">3.3 Spools en Uniones sin correspondencia en Operaciones (16 casos)</w:t>
      </w:r>
    </w:p>
    <w:p>
      <w:pPr>
        <w:pStyle w:val="FirstParagraph"/>
      </w:pPr>
      <w:r>
        <w:t xml:space="preserve">Spools con uniones registradas pero sin fila en Operaciones. Incluye un registro corrupto</w:t>
      </w:r>
      <w:r>
        <w:t xml:space="preserve"> </w:t>
      </w:r>
      <w:r>
        <w:t xml:space="preserve">cuyo TAG es literalmente</w:t>
      </w:r>
      <w:r>
        <w:t xml:space="preserve"> </w:t>
      </w:r>
      <w:r>
        <w:rPr>
          <w:rStyle w:val="VerbatimChar"/>
        </w:rPr>
        <w:t xml:space="preserve">#N/A</w:t>
      </w:r>
      <w:r>
        <w:t xml:space="preserve"> </w:t>
      </w:r>
      <w:r>
        <w:t xml:space="preserve">(resultado de una fórmula rota arrastrada como texto).</w:t>
      </w:r>
    </w:p>
    <w:p>
      <w:pPr>
        <w:pStyle w:val="SourceCode"/>
      </w:pPr>
      <w:r>
        <w:rPr>
          <w:rStyle w:val="VerbatimChar"/>
        </w:rPr>
        <w:t xml:space="preserve">#N/A                 (registro corrupto)</w:t>
      </w:r>
      <w:r>
        <w:br/>
      </w:r>
      <w:r>
        <w:rPr>
          <w:rStyle w:val="VerbatimChar"/>
        </w:rPr>
        <w:t xml:space="preserve">MK-1325-GW-24360-001        MK-1923-TK-34143-001</w:t>
      </w:r>
      <w:r>
        <w:br/>
      </w:r>
      <w:r>
        <w:rPr>
          <w:rStyle w:val="VerbatimChar"/>
        </w:rPr>
        <w:t xml:space="preserve">MK-1325-GW-24365-007        MK-1923-TK-34143-002</w:t>
      </w:r>
      <w:r>
        <w:br/>
      </w:r>
      <w:r>
        <w:rPr>
          <w:rStyle w:val="VerbatimChar"/>
        </w:rPr>
        <w:t xml:space="preserve">MK-1325-GW-24365-009        MK-1923-TK-34145-001</w:t>
      </w:r>
      <w:r>
        <w:br/>
      </w:r>
      <w:r>
        <w:rPr>
          <w:rStyle w:val="VerbatimChar"/>
        </w:rPr>
        <w:t xml:space="preserve">MK-1325-GW-24366-006        MK-1923-TK-34145-002</w:t>
      </w:r>
      <w:r>
        <w:br/>
      </w:r>
      <w:r>
        <w:rPr>
          <w:rStyle w:val="VerbatimChar"/>
        </w:rPr>
        <w:t xml:space="preserve">MK-1343-TW-26933-007        MK-1923-TW-34059-001</w:t>
      </w:r>
      <w:r>
        <w:br/>
      </w:r>
      <w:r>
        <w:rPr>
          <w:rStyle w:val="VerbatimChar"/>
        </w:rPr>
        <w:t xml:space="preserve">MK-1343-TW-26933-012        MK-1923-TW-34060-006</w:t>
      </w:r>
      <w:r>
        <w:br/>
      </w:r>
      <w:r>
        <w:rPr>
          <w:rStyle w:val="VerbatimChar"/>
        </w:rPr>
        <w:t xml:space="preserve">MK-1343-TW-26933-025        SPOOL 2610-SP-32361</w:t>
      </w:r>
      <w:r>
        <w:br/>
      </w:r>
      <w:r>
        <w:rPr>
          <w:rStyle w:val="VerbatimChar"/>
        </w:rPr>
        <w:t xml:space="preserve">MK-1923-TK-34058-001</w:t>
      </w:r>
    </w:p>
    <w:bookmarkEnd w:id="15"/>
    <w:bookmarkStart w:id="16" w:name="filas-con-ot-vacía-en-operaciones-675"/>
    <w:p>
      <w:pPr>
        <w:pStyle w:val="Heading2"/>
      </w:pPr>
      <w:r>
        <w:t xml:space="preserve">3.4 Filas con OT vacía en Operaciones (675)</w:t>
      </w:r>
    </w:p>
    <w:p>
      <w:pPr>
        <w:pStyle w:val="FirstParagraph"/>
      </w:pPr>
      <w:r>
        <w:t xml:space="preserve">Volumen significativo de filas sin OT asignada. No constituye necesariamente un error de</w:t>
      </w:r>
      <w:r>
        <w:t xml:space="preserve"> </w:t>
      </w:r>
      <w:r>
        <w:t xml:space="preserve">correspondencia, pero conviene revisar si corresponde a spools aún no liberados o a registros</w:t>
      </w:r>
      <w:r>
        <w:t xml:space="preserve"> </w:t>
      </w:r>
      <w:r>
        <w:t xml:space="preserve">incompletos.</w:t>
      </w:r>
    </w:p>
    <w:bookmarkEnd w:id="16"/>
    <w:bookmarkEnd w:id="17"/>
    <w:bookmarkStart w:id="18" w:name="causas-probables"/>
    <w:p>
      <w:pPr>
        <w:pStyle w:val="Heading1"/>
      </w:pPr>
      <w:r>
        <w:t xml:space="preserve">4. Causas probables</w:t>
      </w:r>
    </w:p>
    <w:p>
      <w:pPr>
        <w:pStyle w:val="FirstParagraph"/>
      </w:pPr>
      <w:r>
        <w:t xml:space="preserve">El análisis del flujo de datos del sistema permite acotar el origen de estos errores. El</w:t>
      </w:r>
      <w:r>
        <w:t xml:space="preserve"> </w:t>
      </w:r>
      <w:r>
        <w:t xml:space="preserve">software ZEUES</w:t>
      </w:r>
      <w:r>
        <w:t xml:space="preserve"> </w:t>
      </w:r>
      <w:r>
        <w:rPr>
          <w:b/>
          <w:bCs/>
        </w:rPr>
        <w:t xml:space="preserve">no genera ni modifica</w:t>
      </w:r>
      <w:r>
        <w:t xml:space="preserve"> </w:t>
      </w:r>
      <w:r>
        <w:t xml:space="preserve">los valores de TAG y OT por su cuenta: cuando la</w:t>
      </w:r>
      <w:r>
        <w:t xml:space="preserve"> </w:t>
      </w:r>
      <w:r>
        <w:t xml:space="preserve">aplicación crea uniones, toma la OT directamente de la fila correspondiente en Operaciones y</w:t>
      </w:r>
      <w:r>
        <w:t xml:space="preserve"> </w:t>
      </w:r>
      <w:r>
        <w:t xml:space="preserve">la copia sin transformarla. Por lo tanto, las inconsistencias no provienen del sistema, sino</w:t>
      </w:r>
      <w:r>
        <w:t xml:space="preserve"> </w:t>
      </w:r>
      <w:r>
        <w:t xml:space="preserve">del mantenimiento manual de las planillas.</w:t>
      </w:r>
    </w:p>
    <w:p>
      <w:pPr>
        <w:pStyle w:val="BodyText"/>
      </w:pPr>
      <w:r>
        <w:t xml:space="preserve">Las causas se clasifican en tres, todas predecibles: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Hallazgo asociado</w:t>
            </w:r>
          </w:p>
        </w:tc>
        <w:tc>
          <w:tcPr/>
          <w:p>
            <w:pPr>
              <w:pStyle w:val="Compact"/>
            </w:pPr>
            <w:r>
              <w:t xml:space="preserve">Predecible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Cambio de la NV en una hoja sin propagarlo a la otra (corrección o reemisión de la nota de venta)</w:t>
            </w:r>
          </w:p>
        </w:tc>
        <w:tc>
          <w:tcPr/>
          <w:p>
            <w:pPr>
              <w:pStyle w:val="Compact"/>
            </w:pPr>
            <w:r>
              <w:t xml:space="preserve">Grupo A — Proyecto 1923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Re-numeración o re-importación del número interno de spool (SP) en una hoja, quedando la otra con el valor anterior</w:t>
            </w:r>
          </w:p>
        </w:tc>
        <w:tc>
          <w:tcPr/>
          <w:p>
            <w:pPr>
              <w:pStyle w:val="Compact"/>
            </w:pPr>
            <w:r>
              <w:t xml:space="preserve">Grupo B — Proyecto 2610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Datos sucios en el origen: filas duplicadas, sufijos de revisión (</w:t>
            </w:r>
            <w:r>
              <w:rPr>
                <w:rStyle w:val="VerbatimChar"/>
              </w:rPr>
              <w:t xml:space="preserve">R</w:t>
            </w:r>
            <w:r>
              <w:t xml:space="preserve">), valores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y fórmulas rotas (</w:t>
            </w:r>
            <w:r>
              <w:rPr>
                <w:rStyle w:val="VerbatimChar"/>
              </w:rPr>
              <w:t xml:space="preserve">#N/A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Secciones 3.2 y 3.3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Patrón general:</w:t>
      </w:r>
      <w:r>
        <w:t xml:space="preserve"> </w:t>
      </w:r>
      <w:r>
        <w:t xml:space="preserve">13 de los 15 casos de discordancia se concentran en sólo dos proyectos,</w:t>
      </w:r>
      <w:r>
        <w:t xml:space="preserve"> </w:t>
      </w:r>
      <w:r>
        <w:t xml:space="preserve">con una regla interna consistente en cada grupo. Esto es la firma de</w:t>
      </w:r>
      <w:r>
        <w:t xml:space="preserve"> </w:t>
      </w:r>
      <w:r>
        <w:rPr>
          <w:b/>
          <w:bCs/>
        </w:rPr>
        <w:t xml:space="preserve">eventos puntuales</w:t>
      </w:r>
      <w:r>
        <w:t xml:space="preserve"> </w:t>
      </w:r>
      <w:r>
        <w:t xml:space="preserve">(una corrección de NV, una reimportación), no de errores de tipeo dispersos.</w:t>
      </w:r>
    </w:p>
    <w:bookmarkEnd w:id="18"/>
    <w:bookmarkStart w:id="19" w:name="causa-raíz-sistémica"/>
    <w:p>
      <w:pPr>
        <w:pStyle w:val="Heading1"/>
      </w:pPr>
      <w:r>
        <w:t xml:space="preserve">5. Causa raíz sistémica</w:t>
      </w:r>
    </w:p>
    <w:p>
      <w:pPr>
        <w:pStyle w:val="FirstParagraph"/>
      </w:pPr>
      <w:r>
        <w:t xml:space="preserve">Existe una única causa de fondo que explica todos los hallazgos:</w:t>
      </w:r>
      <w:r>
        <w:t xml:space="preserve"> </w:t>
      </w:r>
      <w:r>
        <w:rPr>
          <w:b/>
          <w:bCs/>
        </w:rPr>
        <w:t xml:space="preserve">la información de OT y TAG</w:t>
      </w:r>
      <w:r>
        <w:rPr>
          <w:b/>
          <w:bCs/>
        </w:rPr>
        <w:t xml:space="preserve"> </w:t>
      </w:r>
      <w:r>
        <w:rPr>
          <w:b/>
          <w:bCs/>
        </w:rPr>
        <w:t xml:space="preserve">está duplicada en las hojas Operaciones y Uniones sin ningún mecanismo que garantice que</w:t>
      </w:r>
      <w:r>
        <w:rPr>
          <w:b/>
          <w:bCs/>
        </w:rPr>
        <w:t xml:space="preserve"> </w:t>
      </w:r>
      <w:r>
        <w:rPr>
          <w:b/>
          <w:bCs/>
        </w:rPr>
        <w:t xml:space="preserve">ambas se mantengan sincronizadas.</w:t>
      </w:r>
    </w:p>
    <w:p>
      <w:pPr>
        <w:pStyle w:val="BodyText"/>
      </w:pPr>
      <w:r>
        <w:t xml:space="preserve">En un esquema donde la planilla es la fuente de verdad y se edita manualmente, cualquier</w:t>
      </w:r>
      <w:r>
        <w:t xml:space="preserve"> </w:t>
      </w:r>
      <w:r>
        <w:t xml:space="preserve">modificación en una hoja que no se replique en la otra genera, tarde o temprano, una</w:t>
      </w:r>
      <w:r>
        <w:t xml:space="preserve"> </w:t>
      </w:r>
      <w:r>
        <w:t xml:space="preserve">divergencia. Los cuatro grupos de errores detectados son manifestaciones de esta misma</w:t>
      </w:r>
      <w:r>
        <w:t xml:space="preserve"> </w:t>
      </w:r>
      <w:r>
        <w:t xml:space="preserve">debilidad estructural.</w:t>
      </w:r>
    </w:p>
    <w:bookmarkEnd w:id="19"/>
    <w:bookmarkStart w:id="20" w:name="recomendaciones"/>
    <w:p>
      <w:pPr>
        <w:pStyle w:val="Heading1"/>
      </w:pPr>
      <w:r>
        <w:t xml:space="preserve">6. Recomendaciones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Corrección puntual inmediata.</w:t>
      </w:r>
      <w:r>
        <w:t xml:space="preserve"> </w:t>
      </w:r>
      <w:r>
        <w:t xml:space="preserve">Resolver los 15 casos de discordancia de OT (sección 3.1)</w:t>
      </w:r>
      <w:r>
        <w:t xml:space="preserve"> </w:t>
      </w:r>
      <w:r>
        <w:t xml:space="preserve">definiendo, por proyecto, cuál hoja contiene el valor correcto. El equipo dispone de la</w:t>
      </w:r>
      <w:r>
        <w:t xml:space="preserve"> </w:t>
      </w:r>
      <w:r>
        <w:t xml:space="preserve">referencia exacta de cada celda afectada para una corrección directa.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Depuración de datos sucios.</w:t>
      </w:r>
      <w:r>
        <w:t xml:space="preserve"> </w:t>
      </w:r>
      <w:r>
        <w:t xml:space="preserve">Eliminar o corregir el registro</w:t>
      </w:r>
      <w:r>
        <w:t xml:space="preserve"> </w:t>
      </w:r>
      <w:r>
        <w:rPr>
          <w:rStyle w:val="VerbatimChar"/>
        </w:rPr>
        <w:t xml:space="preserve">#N/A</w:t>
      </w:r>
      <w:r>
        <w:t xml:space="preserve"> </w:t>
      </w:r>
      <w:r>
        <w:t xml:space="preserve">en Uniones y revisar</w:t>
      </w:r>
      <w:r>
        <w:t xml:space="preserve"> </w:t>
      </w:r>
      <w:r>
        <w:t xml:space="preserve">los duplicados con sufijo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y los valores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en Operaciones (secciones 3.2 y 3.3).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 de integridad preventivo.</w:t>
      </w:r>
      <w:r>
        <w:t xml:space="preserve"> </w:t>
      </w:r>
      <w:r>
        <w:t xml:space="preserve">Incorporar una verificación automática que, de forma</w:t>
      </w:r>
      <w:r>
        <w:t xml:space="preserve"> </w:t>
      </w:r>
      <w:r>
        <w:t xml:space="preserve">periódica, contraste el OT de cada spool entre ambas hojas y alerte ante cualquier</w:t>
      </w:r>
      <w:r>
        <w:t xml:space="preserve"> </w:t>
      </w:r>
      <w:r>
        <w:t xml:space="preserve">divergencia, evitando que el problema se repita sin ser detectado.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Definición de fuente de verdad.</w:t>
      </w:r>
      <w:r>
        <w:t xml:space="preserve"> </w:t>
      </w:r>
      <w:r>
        <w:t xml:space="preserve">Establecer formalmente cuál hoja es la autoridad sobre</w:t>
      </w:r>
      <w:r>
        <w:t xml:space="preserve"> </w:t>
      </w:r>
      <w:r>
        <w:t xml:space="preserve">el valor de OT y bajo qué procedimiento se propaga un cambio a la otra.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Auditoría generada de forma automatizada sobre datos de producción. No se modificó ningún</w:t>
      </w:r>
      <w:r>
        <w:rPr>
          <w:i/>
          <w:iCs/>
        </w:rPr>
        <w:t xml:space="preserve"> </w:t>
      </w:r>
      <w:r>
        <w:rPr>
          <w:i/>
          <w:iCs/>
        </w:rPr>
        <w:t xml:space="preserve">registro durante el proceso.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Datos</dc:title>
  <dc:creator/>
  <dc:language>es</dc:language>
  <cp:keywords/>
  <dcterms:created xsi:type="dcterms:W3CDTF">2026-06-05T14:18:00Z</dcterms:created>
  <dcterms:modified xsi:type="dcterms:W3CDTF">2026-06-05T14:18:00Z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de junio de 2026</vt:lpwstr>
  </property>
  <property fmtid="{D5CDD505-2E9C-101B-9397-08002B2CF9AE}" pid="3" name="subtitle">
    <vt:lpwstr>Consistencia TAG ↔ OT — Sistema ZEUES (Producción)</vt:lpwstr>
  </property>
</Properties>
</file>