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2024-03-07</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8"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6" w:name="tables"/>
    <w:p>
      <w:pPr>
        <w:pStyle w:val="Heading3"/>
      </w:pPr>
      <w:r>
        <w:t xml:space="preserve">Tables</w:t>
      </w:r>
    </w:p>
    <w:p>
      <w:pPr>
        <w:pStyle w:val="FirstParagraph"/>
      </w:pPr>
      <w:r>
        <w:t xml:space="preserve">Tables are generally created and output from notebooks in the /notebooks folder. You can then embed these tables in your manuscript.</w:t>
      </w:r>
    </w:p>
    <w:bookmarkStart w:id="23" w:name="table-1"/>
    <w:p>
      <w:pPr>
        <w:pStyle w:val="TableCaption"/>
      </w:pPr>
      <w:r>
        <w:t xml:space="preserve">Table 1. A table.</w:t>
      </w:r>
    </w:p>
    <w:tbl>
      <w:tblPr>
        <w:tblStyle w:val="Table"/>
        <w:tblW w:type="pct" w:w="5000"/>
        <w:tblLook w:firstRow="1" w:lastRow="0" w:firstColumn="0" w:lastColumn="0" w:noHBand="0" w:noVBand="0" w:val="0020"/>
        <w:jc w:val="start"/>
        <w:tblLayout w:type="fixed"/>
        <w:tblCaption w:val="Table 1. A table."/>
      </w:tblPr>
      <w:tblGrid>
        <w:gridCol w:w="1320"/>
        <w:gridCol w:w="1320"/>
        <w:gridCol w:w="1320"/>
        <w:gridCol w:w="1320"/>
        <w:gridCol w:w="1320"/>
        <w:gridCol w:w="1320"/>
      </w:tblGrid>
      <w:tr>
        <w:trPr>
          <w:tblHeader w:val="true"/>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23"/>
    <w:p>
      <w:pPr>
        <w:pStyle w:val="BodyText"/>
      </w:pPr>
      <w:r>
        <w:rPr>
          <w:vertAlign w:val="subscript"/>
        </w:rPr>
        <w:t xml:space="preserve">Source:</w:t>
      </w:r>
      <w:r>
        <w:rPr>
          <w:vertAlign w:val="subscript"/>
        </w:rPr>
        <w:t xml:space="preserve"> </w:t>
      </w:r>
      <w:hyperlink r:id="rId24">
        <w:r>
          <w:rPr>
            <w:rStyle w:val="Hyperlink"/>
            <w:vertAlign w:val="subscript"/>
          </w:rPr>
          <w:t xml:space="preserve">Tables</w:t>
        </w:r>
      </w:hyperlink>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5"/>
          <w:p/>
        </w:tc>
      </w:tr>
    </w:tbl>
    <w:bookmarkEnd w:id="26"/>
    <w:bookmarkStart w:id="36" w:name="figures"/>
    <w:p>
      <w:pPr>
        <w:pStyle w:val="Heading3"/>
      </w:pPr>
      <w:r>
        <w:t xml:space="preserve">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0" w:name="fig-1"/>
          <w:p>
            <w:pPr>
              <w:pStyle w:val="Compact"/>
              <w:jc w:val="center"/>
            </w:pPr>
            <w:r>
              <w:drawing>
                <wp:inline>
                  <wp:extent cx="5334000" cy="3810000"/>
                  <wp:effectExtent b="0" l="0" r="0" t="0"/>
                  <wp:docPr descr="" title="" id="28" name="Picture"/>
                  <a:graphic>
                    <a:graphicData uri="http://schemas.openxmlformats.org/drawingml/2006/picture">
                      <pic:pic>
                        <pic:nvPicPr>
                          <pic:cNvPr descr="index_files/figure-docx/notebooks-fig1-fig-1-output-1.png" id="29"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0"/>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Figure 1</w:t>
        </w:r>
      </w:hyperlink>
    </w:p>
    <w:p>
      <w:pPr>
        <w:pStyle w:val="BodyText"/>
      </w:pPr>
      <w:r>
        <w:t xml:space="preserve">We can also insert image files directly into our manuscript using images that are saved in the /images folder</w:t>
      </w:r>
    </w:p>
    <w:tbl>
      <w:tblPr>
        <w:tblStyle w:val="Table"/>
        <w:tblW w:type="pct" w:w="5000"/>
        <w:tblLook w:firstRow="0" w:lastRow="0" w:firstColumn="0" w:lastColumn="0" w:noHBand="0" w:noVBand="0" w:val="0000"/>
        <w:jc w:val="start"/>
        <w:tblLayout w:type="fixed"/>
      </w:tblPr>
      <w:tblGrid>
        <w:gridCol w:w="7920"/>
      </w:tblGrid>
      <w:tr>
        <w:tc>
          <w:tcPr/>
          <w:bookmarkStart w:id="35" w:name="fig-map"/>
          <w:p>
            <w:pPr>
              <w:pStyle w:val="Compact"/>
              <w:jc w:val="center"/>
            </w:pPr>
            <w:r>
              <w:drawing>
                <wp:inline>
                  <wp:extent cx="5334000" cy="2369740"/>
                  <wp:effectExtent b="0" l="0" r="0" t="0"/>
                  <wp:docPr descr="" title="" id="33" name="Picture"/>
                  <a:graphic>
                    <a:graphicData uri="http://schemas.openxmlformats.org/drawingml/2006/picture">
                      <pic:pic>
                        <pic:nvPicPr>
                          <pic:cNvPr descr="images/la-palma-map.png" id="34" name="Picture"/>
                          <pic:cNvPicPr>
                            <a:picLocks noChangeArrowheads="1" noChangeAspect="1"/>
                          </pic:cNvPicPr>
                        </pic:nvPicPr>
                        <pic:blipFill>
                          <a:blip r:embed="rId32"/>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5"/>
        </w:tc>
      </w:tr>
    </w:tbl>
    <w:bookmarkEnd w:id="36"/>
    <w:bookmarkStart w:id="37"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Marrero et al. (2019)</w:t>
      </w:r>
      <w:r>
        <w:t xml:space="preserve"> </w:t>
      </w:r>
      <w:r>
        <w:t xml:space="preserve">concluded something.</w:t>
      </w:r>
      <w:r>
        <w:br/>
      </w:r>
    </w:p>
    <w:p>
      <w:pPr>
        <w:numPr>
          <w:ilvl w:val="0"/>
          <w:numId w:val="1001"/>
        </w:numPr>
        <w:pStyle w:val="Compact"/>
      </w:pPr>
      <w:r>
        <w:t xml:space="preserve">These are the conclusions</w:t>
      </w:r>
      <w:r>
        <w:t xml:space="preserve">(Marrero et al. 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numPr>
          <w:ilvl w:val="0"/>
          <w:numId w:val="1002"/>
        </w:numPr>
        <w:pStyle w:val="Compact"/>
      </w:pPr>
      <w:r>
        <w:t xml:space="preserve">reference other sections in the paper (e.g., Methods are described in</w:t>
      </w:r>
      <w:r>
        <w:t xml:space="preserve"> </w:t>
      </w:r>
      <w:hyperlink w:anchor="sec-methods">
        <w:r>
          <w:rPr>
            <w:rStyle w:val="Hyperlink"/>
          </w:rPr>
          <w:t xml:space="preserve">Section 2</w:t>
        </w:r>
      </w:hyperlink>
      <w:r>
        <w:t xml:space="preserve">)</w:t>
      </w:r>
    </w:p>
    <w:p>
      <w:pPr>
        <w:numPr>
          <w:ilvl w:val="0"/>
          <w:numId w:val="1002"/>
        </w:numPr>
        <w:pStyle w:val="Compact"/>
      </w:pPr>
      <w:r>
        <w:t xml:space="preserve">reference figures elsewhere using the @ symbol. Here is a reference to</w:t>
      </w:r>
      <w:r>
        <w:t xml:space="preserve"> </w:t>
      </w:r>
      <w:hyperlink w:anchor="fig-1">
        <w:r>
          <w:rPr>
            <w:rStyle w:val="Hyperlink"/>
          </w:rPr>
          <w:t xml:space="preserve">Figure 1</w:t>
        </w:r>
      </w:hyperlink>
    </w:p>
    <w:bookmarkEnd w:id="37"/>
    <w:bookmarkEnd w:id="38"/>
    <w:bookmarkStart w:id="39" w:name="sec-methods"/>
    <w:p>
      <w:pPr>
        <w:pStyle w:val="Heading2"/>
      </w:pPr>
      <w:r>
        <w:t xml:space="preserve">Methods</w:t>
      </w:r>
    </w:p>
    <w:bookmarkEnd w:id="39"/>
    <w:bookmarkStart w:id="41"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0">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3"/>
        </w:numPr>
        <w:pStyle w:val="Compact"/>
      </w:pPr>
      <w:r>
        <w:t xml:space="preserve">We should write a function that works with tidied coeffs tables and takes the row, column, and number of decimal places to make this code simpler.</w:t>
      </w:r>
    </w:p>
    <w:p>
      <w:pPr>
        <w:numPr>
          <w:ilvl w:val="0"/>
          <w:numId w:val="1003"/>
        </w:numPr>
        <w:pStyle w:val="Compact"/>
      </w:pPr>
      <w:r>
        <w:t xml:space="preserve">This table doesnt contain df. Need to add that to table when saving in lm</w:t>
      </w:r>
    </w:p>
    <w:bookmarkEnd w:id="41"/>
    <w:bookmarkStart w:id="42" w:name="sec-discussion"/>
    <w:p>
      <w:pPr>
        <w:pStyle w:val="Heading2"/>
      </w:pPr>
      <w:r>
        <w:t xml:space="preserve">Discussion</w:t>
      </w:r>
    </w:p>
    <w:bookmarkEnd w:id="42"/>
    <w:bookmarkStart w:id="46" w:name="references-1"/>
    <w:p>
      <w:pPr>
        <w:pStyle w:val="Heading2"/>
      </w:pPr>
      <w:r>
        <w:t xml:space="preserve">References</w:t>
      </w:r>
    </w:p>
    <w:bookmarkStart w:id="45" w:name="refs"/>
    <w:bookmarkStart w:id="44"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3">
        <w:r>
          <w:rPr>
            <w:rStyle w:val="Hyperlink"/>
          </w:rPr>
          <w:t xml:space="preserve">https://doi.org/10.1186/s13617-019-0085-5</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3" Target="https://doi.org/10.1186/s13617-019-0085-5" TargetMode="External" /><Relationship Type="http://schemas.openxmlformats.org/officeDocument/2006/relationships/hyperlink" Id="rId40" Target="https://jjcurtin.github.io/study_template/index.qmd.html" TargetMode="External" /><Relationship Type="http://schemas.openxmlformats.org/officeDocument/2006/relationships/hyperlink" Id="rId31" Target="https://jjcurtin.github.io/study_template/notebooks/fig1-preview.html#cell-fig-1" TargetMode="External" /><Relationship Type="http://schemas.openxmlformats.org/officeDocument/2006/relationships/hyperlink" Id="rId24" Target="https://jjcurtin.github.io/study_template/notebooks/tables-preview.html#cell-table-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86/s13617-019-0085-5" TargetMode="External" /><Relationship Type="http://schemas.openxmlformats.org/officeDocument/2006/relationships/hyperlink" Id="rId40" Target="https://jjcurtin.github.io/study_template/index.qmd.html" TargetMode="External" /><Relationship Type="http://schemas.openxmlformats.org/officeDocument/2006/relationships/hyperlink" Id="rId31" Target="https://jjcurtin.github.io/study_template/notebooks/fig1-preview.html#cell-fig-1" TargetMode="External" /><Relationship Type="http://schemas.openxmlformats.org/officeDocument/2006/relationships/hyperlink" Id="rId24" Target="https://jjcurtin.github.io/study_template/notebooks/tables-preview.html#cell-table-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2024-03-07T16:02:28Z</dcterms:created>
  <dcterms:modified xsi:type="dcterms:W3CDTF">2024-03-07T16:02:28Z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