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2024-03-08</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37" w:name="sec-intro"/>
    <w:p>
      <w:pPr>
        <w:pStyle w:val="Heading2"/>
      </w:pPr>
      <w:r>
        <w:t xml:space="preserve">Introduction</w:t>
      </w:r>
    </w:p>
    <w:p>
      <w:pPr>
        <w:pStyle w:val="FirstParagraph"/>
      </w:pPr>
      <w:r>
        <w:t xml:space="preserve">You can write your text using markdown.</w:t>
      </w:r>
    </w:p>
    <w:p>
      <w:pPr>
        <w:pStyle w:val="BodyText"/>
      </w:pPr>
      <w:r>
        <w:t xml:space="preserve">Top level section headings use ##</w:t>
      </w:r>
    </w:p>
    <w:p>
      <w:pPr>
        <w:pStyle w:val="BodyText"/>
      </w:pPr>
      <w:r>
        <w:t xml:space="preserve">Notice use of curly braces to label a section if you want to later cross-reference to it. #sec- is required as part of the label</w:t>
      </w:r>
    </w:p>
    <w:bookmarkStart w:id="20" w:name="sub-heading-demo"/>
    <w:p>
      <w:pPr>
        <w:pStyle w:val="Heading3"/>
      </w:pPr>
      <w:r>
        <w:t xml:space="preserve">Sub-heading Demo</w:t>
      </w:r>
    </w:p>
    <w:p>
      <w:pPr>
        <w:pStyle w:val="FirstParagraph"/>
      </w:pPr>
      <w:r>
        <w:t xml:space="preserve">You can use sub-headings in your paper as well</w:t>
      </w:r>
    </w:p>
    <w:bookmarkEnd w:id="20"/>
    <w:bookmarkStart w:id="22"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1">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2"/>
    <w:bookmarkStart w:id="25" w:name="tables"/>
    <w:p>
      <w:pPr>
        <w:pStyle w:val="Heading3"/>
      </w:pPr>
      <w:r>
        <w:t xml:space="preserve">Tables</w:t>
      </w:r>
    </w:p>
    <w:p>
      <w:pPr>
        <w:pStyle w:val="FirstParagraph"/>
      </w:pPr>
      <w:r>
        <w:t xml:space="preserve">Tables are generally created and output from notebooks in the /notebooks folder. You can then embed these tables in your manuscript.</w:t>
      </w:r>
    </w:p>
    <w:bookmarkStart w:id="23" w:name="table-1"/>
    <w:p>
      <w:pPr>
        <w:pStyle w:val="TableCaption"/>
      </w:pPr>
      <w:r>
        <w:t xml:space="preserve">Table 1. A table.</w:t>
      </w:r>
    </w:p>
    <w:tbl>
      <w:tblPr>
        <w:tblStyle w:val="Table"/>
        <w:tblW w:type="pct" w:w="5000"/>
        <w:tblLook w:firstRow="1" w:lastRow="0" w:firstColumn="0" w:lastColumn="0" w:noHBand="0" w:noVBand="0" w:val="0020"/>
        <w:jc w:val="start"/>
        <w:tblLayout w:type="fixed"/>
        <w:tblCaption w:val="Table 1. A table."/>
      </w:tblPr>
      <w:tblGrid>
        <w:gridCol w:w="1320"/>
        <w:gridCol w:w="1320"/>
        <w:gridCol w:w="1320"/>
        <w:gridCol w:w="1320"/>
        <w:gridCol w:w="1320"/>
        <w:gridCol w:w="1320"/>
      </w:tblGrid>
      <w:tr>
        <w:trPr>
          <w:tblHeader w:val="true"/>
        </w:trPr>
        <w:tc>
          <w:tcPr/>
          <w:p>
            <w:pPr>
              <w:pStyle w:val="Compact"/>
            </w:pPr>
          </w:p>
        </w:tc>
        <w:tc>
          <w:tcPr>
            <w:gridSpan w:val="2"/>
          </w:tcPr>
          <w:p>
            <w:pPr>
              <w:pStyle w:val="Compact"/>
              <w:jc w:val="center"/>
            </w:pPr>
            <w:r>
              <w:t xml:space="preserve">Group 1</w:t>
            </w:r>
          </w:p>
        </w:tc>
        <w:tc>
          <w:tcPr>
            <w:gridSpan w:val="2"/>
          </w:tcPr>
          <w:p>
            <w:pPr>
              <w:pStyle w:val="Compact"/>
              <w:jc w:val="center"/>
            </w:pPr>
            <w:r>
              <w:t xml:space="preserve">Group 2</w:t>
            </w:r>
          </w:p>
        </w:tc>
        <w:tc>
          <w:tcPr/>
          <w:p>
            <w:pPr>
              <w:pStyle w:val="Compact"/>
              <w:jc w:val="center"/>
            </w:pPr>
            <w:r>
              <w:t xml:space="preserve">Group 3</w:t>
            </w:r>
          </w:p>
        </w:tc>
      </w:tr>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160.0</w:t>
            </w:r>
          </w:p>
        </w:tc>
        <w:tc>
          <w:tcPr/>
          <w:p>
            <w:pPr>
              <w:pStyle w:val="Compact"/>
              <w:jc w:val="right"/>
            </w:pPr>
            <w:r>
              <w:t xml:space="preserve">110</w:t>
            </w:r>
          </w:p>
        </w:tc>
        <w:tc>
          <w:tcPr/>
          <w:p>
            <w:pPr>
              <w:pStyle w:val="Compact"/>
              <w:jc w:val="right"/>
            </w:pPr>
            <w:r>
              <w:t xml:space="preserve">3.90</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160.0</w:t>
            </w:r>
          </w:p>
        </w:tc>
        <w:tc>
          <w:tcPr/>
          <w:p>
            <w:pPr>
              <w:pStyle w:val="Compact"/>
              <w:jc w:val="right"/>
            </w:pPr>
            <w:r>
              <w:t xml:space="preserve">110</w:t>
            </w:r>
          </w:p>
        </w:tc>
        <w:tc>
          <w:tcPr/>
          <w:p>
            <w:pPr>
              <w:pStyle w:val="Compact"/>
              <w:jc w:val="right"/>
            </w:pPr>
            <w:r>
              <w:t xml:space="preserve">3.90</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108.0</w:t>
            </w:r>
          </w:p>
        </w:tc>
        <w:tc>
          <w:tcPr/>
          <w:p>
            <w:pPr>
              <w:pStyle w:val="Compact"/>
              <w:jc w:val="right"/>
            </w:pPr>
            <w:r>
              <w:t xml:space="preserve">93</w:t>
            </w:r>
          </w:p>
        </w:tc>
        <w:tc>
          <w:tcPr/>
          <w:p>
            <w:pPr>
              <w:pStyle w:val="Compact"/>
              <w:jc w:val="right"/>
            </w:pPr>
            <w:r>
              <w:t xml:space="preserve">3.85</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258.0</w:t>
            </w:r>
          </w:p>
        </w:tc>
        <w:tc>
          <w:tcPr/>
          <w:p>
            <w:pPr>
              <w:pStyle w:val="Compact"/>
              <w:jc w:val="right"/>
            </w:pPr>
            <w:r>
              <w:t xml:space="preserve">110</w:t>
            </w:r>
          </w:p>
        </w:tc>
        <w:tc>
          <w:tcPr/>
          <w:p>
            <w:pPr>
              <w:pStyle w:val="Compact"/>
              <w:jc w:val="right"/>
            </w:pPr>
            <w:r>
              <w:t xml:space="preserve">3.08</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360.0</w:t>
            </w:r>
          </w:p>
        </w:tc>
        <w:tc>
          <w:tcPr/>
          <w:p>
            <w:pPr>
              <w:pStyle w:val="Compact"/>
              <w:jc w:val="right"/>
            </w:pPr>
            <w:r>
              <w:t xml:space="preserve">175</w:t>
            </w:r>
          </w:p>
        </w:tc>
        <w:tc>
          <w:tcPr/>
          <w:p>
            <w:pPr>
              <w:pStyle w:val="Compact"/>
              <w:jc w:val="right"/>
            </w:pPr>
            <w:r>
              <w:t xml:space="preserve">3.15</w:t>
            </w:r>
          </w:p>
        </w:tc>
      </w:tr>
      <w:tr>
        <w:tc>
          <w:tcPr/>
          <w:p>
            <w:pPr>
              <w:pStyle w:val="Compact"/>
              <w:jc w:val="left"/>
            </w:pPr>
            <w:r>
              <w:t xml:space="preserve">Valiant</w:t>
            </w:r>
          </w:p>
        </w:tc>
        <w:tc>
          <w:tcPr/>
          <w:p>
            <w:pPr>
              <w:pStyle w:val="Compact"/>
              <w:jc w:val="right"/>
            </w:pPr>
            <w:r>
              <w:t xml:space="preserve">18.1</w:t>
            </w:r>
          </w:p>
        </w:tc>
        <w:tc>
          <w:tcPr/>
          <w:p>
            <w:pPr>
              <w:pStyle w:val="Compact"/>
              <w:jc w:val="right"/>
            </w:pPr>
            <w:r>
              <w:t xml:space="preserve">6</w:t>
            </w:r>
          </w:p>
        </w:tc>
        <w:tc>
          <w:tcPr/>
          <w:p>
            <w:pPr>
              <w:pStyle w:val="Compact"/>
              <w:jc w:val="right"/>
            </w:pPr>
            <w:r>
              <w:t xml:space="preserve">225.0</w:t>
            </w:r>
          </w:p>
        </w:tc>
        <w:tc>
          <w:tcPr/>
          <w:p>
            <w:pPr>
              <w:pStyle w:val="Compact"/>
              <w:jc w:val="right"/>
            </w:pPr>
            <w:r>
              <w:t xml:space="preserve">105</w:t>
            </w:r>
          </w:p>
        </w:tc>
        <w:tc>
          <w:tcPr/>
          <w:p>
            <w:pPr>
              <w:pStyle w:val="Compact"/>
              <w:jc w:val="right"/>
            </w:pPr>
            <w:r>
              <w:t xml:space="preserve">2.76</w:t>
            </w:r>
          </w:p>
        </w:tc>
      </w:tr>
      <w:tr>
        <w:tc>
          <w:tcPr/>
          <w:p>
            <w:pPr>
              <w:pStyle w:val="Compact"/>
              <w:jc w:val="left"/>
            </w:pPr>
            <w:r>
              <w:t xml:space="preserve">Duster 360</w:t>
            </w:r>
          </w:p>
        </w:tc>
        <w:tc>
          <w:tcPr/>
          <w:p>
            <w:pPr>
              <w:pStyle w:val="Compact"/>
              <w:jc w:val="right"/>
            </w:pPr>
            <w:r>
              <w:t xml:space="preserve">14.3</w:t>
            </w:r>
          </w:p>
        </w:tc>
        <w:tc>
          <w:tcPr/>
          <w:p>
            <w:pPr>
              <w:pStyle w:val="Compact"/>
              <w:jc w:val="right"/>
            </w:pPr>
            <w:r>
              <w:t xml:space="preserve">8</w:t>
            </w:r>
          </w:p>
        </w:tc>
        <w:tc>
          <w:tcPr/>
          <w:p>
            <w:pPr>
              <w:pStyle w:val="Compact"/>
              <w:jc w:val="right"/>
            </w:pPr>
            <w:r>
              <w:t xml:space="preserve">360.0</w:t>
            </w:r>
          </w:p>
        </w:tc>
        <w:tc>
          <w:tcPr/>
          <w:p>
            <w:pPr>
              <w:pStyle w:val="Compact"/>
              <w:jc w:val="right"/>
            </w:pPr>
            <w:r>
              <w:t xml:space="preserve">245</w:t>
            </w:r>
          </w:p>
        </w:tc>
        <w:tc>
          <w:tcPr/>
          <w:p>
            <w:pPr>
              <w:pStyle w:val="Compact"/>
              <w:jc w:val="right"/>
            </w:pPr>
            <w:r>
              <w:t xml:space="preserve">3.21</w:t>
            </w:r>
          </w:p>
        </w:tc>
      </w:tr>
      <w:tr>
        <w:tc>
          <w:tcPr/>
          <w:p>
            <w:pPr>
              <w:pStyle w:val="Compact"/>
              <w:jc w:val="left"/>
            </w:pPr>
            <w:r>
              <w:t xml:space="preserve">Merc 240D</w:t>
            </w:r>
          </w:p>
        </w:tc>
        <w:tc>
          <w:tcPr/>
          <w:p>
            <w:pPr>
              <w:pStyle w:val="Compact"/>
              <w:jc w:val="right"/>
            </w:pPr>
            <w:r>
              <w:t xml:space="preserve">24.4</w:t>
            </w:r>
          </w:p>
        </w:tc>
        <w:tc>
          <w:tcPr/>
          <w:p>
            <w:pPr>
              <w:pStyle w:val="Compact"/>
              <w:jc w:val="right"/>
            </w:pPr>
            <w:r>
              <w:t xml:space="preserve">4</w:t>
            </w:r>
          </w:p>
        </w:tc>
        <w:tc>
          <w:tcPr/>
          <w:p>
            <w:pPr>
              <w:pStyle w:val="Compact"/>
              <w:jc w:val="right"/>
            </w:pPr>
            <w:r>
              <w:t xml:space="preserve">146.7</w:t>
            </w:r>
          </w:p>
        </w:tc>
        <w:tc>
          <w:tcPr/>
          <w:p>
            <w:pPr>
              <w:pStyle w:val="Compact"/>
              <w:jc w:val="right"/>
            </w:pPr>
            <w:r>
              <w:t xml:space="preserve">62</w:t>
            </w:r>
          </w:p>
        </w:tc>
        <w:tc>
          <w:tcPr/>
          <w:p>
            <w:pPr>
              <w:pStyle w:val="Compact"/>
              <w:jc w:val="right"/>
            </w:pPr>
            <w:r>
              <w:t xml:space="preserve">3.69</w:t>
            </w:r>
          </w:p>
        </w:tc>
      </w:tr>
      <w:tr>
        <w:tc>
          <w:tcPr/>
          <w:p>
            <w:pPr>
              <w:pStyle w:val="Compact"/>
              <w:jc w:val="left"/>
            </w:pPr>
            <w:r>
              <w:t xml:space="preserve">Merc 230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140.8</w:t>
            </w:r>
          </w:p>
        </w:tc>
        <w:tc>
          <w:tcPr/>
          <w:p>
            <w:pPr>
              <w:pStyle w:val="Compact"/>
              <w:jc w:val="right"/>
            </w:pPr>
            <w:r>
              <w:t xml:space="preserve">95</w:t>
            </w:r>
          </w:p>
        </w:tc>
        <w:tc>
          <w:tcPr/>
          <w:p>
            <w:pPr>
              <w:pStyle w:val="Compact"/>
              <w:jc w:val="right"/>
            </w:pPr>
            <w:r>
              <w:t xml:space="preserve">3.92</w:t>
            </w:r>
          </w:p>
        </w:tc>
      </w:tr>
      <w:tr>
        <w:tc>
          <w:tcPr/>
          <w:p>
            <w:pPr>
              <w:pStyle w:val="Compact"/>
              <w:jc w:val="left"/>
            </w:pPr>
            <w:r>
              <w:t xml:space="preserve">Merc 280</w:t>
            </w:r>
          </w:p>
        </w:tc>
        <w:tc>
          <w:tcPr/>
          <w:p>
            <w:pPr>
              <w:pStyle w:val="Compact"/>
              <w:jc w:val="right"/>
            </w:pPr>
            <w:r>
              <w:t xml:space="preserve">19.2</w:t>
            </w:r>
          </w:p>
        </w:tc>
        <w:tc>
          <w:tcPr/>
          <w:p>
            <w:pPr>
              <w:pStyle w:val="Compact"/>
              <w:jc w:val="right"/>
            </w:pPr>
            <w:r>
              <w:t xml:space="preserve">6</w:t>
            </w:r>
          </w:p>
        </w:tc>
        <w:tc>
          <w:tcPr/>
          <w:p>
            <w:pPr>
              <w:pStyle w:val="Compact"/>
              <w:jc w:val="right"/>
            </w:pPr>
            <w:r>
              <w:t xml:space="preserve">167.6</w:t>
            </w:r>
          </w:p>
        </w:tc>
        <w:tc>
          <w:tcPr/>
          <w:p>
            <w:pPr>
              <w:pStyle w:val="Compact"/>
              <w:jc w:val="right"/>
            </w:pPr>
            <w:r>
              <w:t xml:space="preserve">123</w:t>
            </w:r>
          </w:p>
        </w:tc>
        <w:tc>
          <w:tcPr/>
          <w:p>
            <w:pPr>
              <w:pStyle w:val="Compact"/>
              <w:jc w:val="right"/>
            </w:pPr>
            <w:r>
              <w:t xml:space="preserve">3.92</w:t>
            </w:r>
          </w:p>
        </w:tc>
      </w:tr>
    </w:tbl>
    <w:bookmarkEnd w:id="23"/>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24"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24"/>
          <w:p/>
        </w:tc>
      </w:tr>
    </w:tbl>
    <w:bookmarkEnd w:id="25"/>
    <w:bookmarkStart w:id="34" w:name="figures"/>
    <w:p>
      <w:pPr>
        <w:pStyle w:val="Heading3"/>
      </w:pPr>
      <w:r>
        <w:t xml:space="preserve">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29" w:name="fig-1"/>
          <w:p>
            <w:pPr>
              <w:pStyle w:val="Compact"/>
              <w:jc w:val="center"/>
            </w:pPr>
            <w:r>
              <w:drawing>
                <wp:inline>
                  <wp:extent cx="5334000" cy="3810000"/>
                  <wp:effectExtent b="0" l="0" r="0" t="0"/>
                  <wp:docPr descr="" title="" id="27" name="Picture"/>
                  <a:graphic>
                    <a:graphicData uri="http://schemas.openxmlformats.org/drawingml/2006/picture">
                      <pic:pic>
                        <pic:nvPicPr>
                          <pic:cNvPr descr="index_files/figure-docx/notebooks-fig1-fig-1-output-1.png" id="28" name="Picture"/>
                          <pic:cNvPicPr>
                            <a:picLocks noChangeArrowheads="1" noChangeAspect="1"/>
                          </pic:cNvPicPr>
                        </pic:nvPicPr>
                        <pic:blipFill>
                          <a:blip r:embed="rId2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29"/>
        </w:tc>
      </w:tr>
    </w:tbl>
    <w:p>
      <w:pPr>
        <w:pStyle w:val="BodyText"/>
      </w:pPr>
      <w:r>
        <w:t xml:space="preserve">We can also insert image files directly into our manuscript using images that are saved in the /images folder</w:t>
      </w:r>
    </w:p>
    <w:tbl>
      <w:tblPr>
        <w:tblStyle w:val="Table"/>
        <w:tblW w:type="pct" w:w="5000"/>
        <w:tblLook w:firstRow="0" w:lastRow="0" w:firstColumn="0" w:lastColumn="0" w:noHBand="0" w:noVBand="0" w:val="0000"/>
        <w:jc w:val="start"/>
        <w:tblLayout w:type="fixed"/>
      </w:tblPr>
      <w:tblGrid>
        <w:gridCol w:w="7920"/>
      </w:tblGrid>
      <w:tr>
        <w:tc>
          <w:tcPr/>
          <w:bookmarkStart w:id="33" w:name="fig-map"/>
          <w:p>
            <w:pPr>
              <w:pStyle w:val="Compact"/>
              <w:jc w:val="center"/>
            </w:pPr>
            <w:r>
              <w:drawing>
                <wp:inline>
                  <wp:extent cx="5334000" cy="2369740"/>
                  <wp:effectExtent b="0" l="0" r="0" t="0"/>
                  <wp:docPr descr="" title="" id="31" name="Picture"/>
                  <a:graphic>
                    <a:graphicData uri="http://schemas.openxmlformats.org/drawingml/2006/picture">
                      <pic:pic>
                        <pic:nvPicPr>
                          <pic:cNvPr descr="images/la-palma-map.png" id="32" name="Picture"/>
                          <pic:cNvPicPr>
                            <a:picLocks noChangeArrowheads="1" noChangeAspect="1"/>
                          </pic:cNvPicPr>
                        </pic:nvPicPr>
                        <pic:blipFill>
                          <a:blip r:embed="rId30"/>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La Palma</w:t>
            </w:r>
          </w:p>
          <w:bookmarkEnd w:id="33"/>
        </w:tc>
      </w:tr>
    </w:tbl>
    <w:bookmarkEnd w:id="34"/>
    <w:bookmarkStart w:id="36" w:name="references"/>
    <w:p>
      <w:pPr>
        <w:pStyle w:val="Heading3"/>
      </w:pPr>
      <w:r>
        <w:t xml:space="preserve">References</w:t>
      </w:r>
    </w:p>
    <w:p>
      <w:pPr>
        <w:pStyle w:val="FirstParagraph"/>
      </w:pPr>
      <w:r>
        <w:t xml:space="preserve">We can use cite relevant research in multiple formats. The two most common are:</w:t>
      </w:r>
    </w:p>
    <w:p>
      <w:pPr>
        <w:numPr>
          <w:ilvl w:val="0"/>
          <w:numId w:val="1001"/>
        </w:numPr>
        <w:pStyle w:val="Compact"/>
      </w:pPr>
      <w:r>
        <w:t xml:space="preserve">Marrero et al. (2019)</w:t>
      </w:r>
      <w:r>
        <w:t xml:space="preserve"> </w:t>
      </w:r>
      <w:r>
        <w:t xml:space="preserve">concluded something.</w:t>
      </w:r>
      <w:r>
        <w:br/>
      </w:r>
    </w:p>
    <w:p>
      <w:pPr>
        <w:numPr>
          <w:ilvl w:val="0"/>
          <w:numId w:val="1001"/>
        </w:numPr>
        <w:pStyle w:val="Compact"/>
      </w:pPr>
      <w:r>
        <w:t xml:space="preserve">These are the conclusions</w:t>
      </w:r>
      <w:r>
        <w:t xml:space="preserve">(Marrero et al. 2019)</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w:t>
      </w:r>
    </w:p>
    <w:p>
      <w:pPr>
        <w:pStyle w:val="BodyText"/>
      </w:pPr>
      <w:r>
        <w:t xml:space="preserve">Issue with Typst breaking on</w:t>
      </w:r>
      <w:r>
        <w:t xml:space="preserve"> </w:t>
      </w:r>
      <w:hyperlink r:id="rId35">
        <w:r>
          <w:rPr>
            <w:rStyle w:val="Hyperlink"/>
          </w:rPr>
          <w:t xml:space="preserve">“</w:t>
        </w:r>
        <w:r>
          <w:rPr>
            <w:rStyle w:val="Hyperlink"/>
          </w:rPr>
          <w:t xml:space="preserve">unnumbered references</w:t>
        </w:r>
        <w:r>
          <w:rPr>
            <w:rStyle w:val="Hyperlink"/>
          </w:rPr>
          <w:t xml:space="preserve">”</w:t>
        </w:r>
      </w:hyperlink>
    </w:p>
    <w:p>
      <w:pPr>
        <w:pStyle w:val="BodyText"/>
      </w:pPr>
      <w:r>
        <w:t xml:space="preserve">Change number-sections: in YAML to TRUE to fix this (although that causes unwanted numbering!)</w:t>
      </w:r>
      <w:r>
        <w:t xml:space="preserve"> </w:t>
      </w:r>
      <w:r>
        <w:t xml:space="preserve"> </w:t>
      </w:r>
      <w:r>
        <w:t xml:space="preserve">- reference figures elsewhere using the @ symbol. Here is a reference to</w:t>
      </w:r>
      <w:r>
        <w:t xml:space="preserve"> </w:t>
      </w:r>
      <w:hyperlink w:anchor="fig-1">
        <w:r>
          <w:rPr>
            <w:rStyle w:val="Hyperlink"/>
          </w:rPr>
          <w:t xml:space="preserve">Figure 1</w:t>
        </w:r>
      </w:hyperlink>
    </w:p>
    <w:bookmarkEnd w:id="36"/>
    <w:bookmarkEnd w:id="37"/>
    <w:bookmarkStart w:id="38" w:name="sec-methods"/>
    <w:p>
      <w:pPr>
        <w:pStyle w:val="Heading2"/>
      </w:pPr>
      <w:r>
        <w:t xml:space="preserve">Methods</w:t>
      </w:r>
    </w:p>
    <w:bookmarkEnd w:id="38"/>
    <w:bookmarkStart w:id="39" w:name="sec-results"/>
    <w:p>
      <w:pPr>
        <w:pStyle w:val="Heading2"/>
      </w:pPr>
      <w:r>
        <w:t xml:space="preserve">Results</w:t>
      </w:r>
    </w:p>
    <w:p>
      <w:pPr>
        <w:pStyle w:val="FirstParagraph"/>
      </w:pPr>
      <w:r>
        <w:t xml:space="preserve">To add results that are not figures or tables, you will need to open the analysis objects you saved from these analyses. See lm.qmd as an example. Generally you will open csv files that contain tidied results. For example</w:t>
      </w:r>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2"/>
        </w:numPr>
        <w:pStyle w:val="Compact"/>
      </w:pPr>
      <w:r>
        <w:t xml:space="preserve">We should write a function that works with tidied coeffs tables and takes the row, column, and number of decimal places to make this code simpler.</w:t>
      </w:r>
    </w:p>
    <w:p>
      <w:pPr>
        <w:numPr>
          <w:ilvl w:val="0"/>
          <w:numId w:val="1002"/>
        </w:numPr>
        <w:pStyle w:val="Compact"/>
      </w:pPr>
      <w:r>
        <w:t xml:space="preserve">This table doesnt contain df. Need to add that to table when saving in lm</w:t>
      </w:r>
    </w:p>
    <w:bookmarkEnd w:id="39"/>
    <w:bookmarkStart w:id="40" w:name="sec-discussion"/>
    <w:p>
      <w:pPr>
        <w:pStyle w:val="Heading2"/>
      </w:pPr>
      <w:r>
        <w:t xml:space="preserve">Discussion</w:t>
      </w:r>
    </w:p>
    <w:bookmarkEnd w:id="40"/>
    <w:bookmarkStart w:id="44" w:name="references-1"/>
    <w:p>
      <w:pPr>
        <w:pStyle w:val="Heading2"/>
      </w:pPr>
      <w:r>
        <w:t xml:space="preserve">References</w:t>
      </w:r>
    </w:p>
    <w:bookmarkStart w:id="43" w:name="refs"/>
    <w:bookmarkStart w:id="42" w:name="ref-marrero2019"/>
    <w:p>
      <w:pPr>
        <w:pStyle w:val="Bibliography"/>
      </w:pPr>
      <w:r>
        <w:t xml:space="preserve">Marrero, José, Alicia García, Manuel Berrocoso, Ángeles Llinares, Antonio Rodríguez-Losada, and R. Ortiz. 2019.</w:t>
      </w:r>
      <w:r>
        <w:t xml:space="preserve"> </w:t>
      </w:r>
      <w:r>
        <w:t xml:space="preserve">“Strategies for the Development of Volcanic Hazard Maps in Monogenetic Volcanic Fields: The Example of</w:t>
      </w:r>
      <w:r>
        <w:t xml:space="preserve"> </w:t>
      </w:r>
      <w:r>
        <w:t xml:space="preserve">La</w:t>
      </w:r>
      <w:r>
        <w:t xml:space="preserve"> </w:t>
      </w:r>
      <w:r>
        <w:t xml:space="preserve">Palma</w:t>
      </w:r>
      <w:r>
        <w:t xml:space="preserve"> </w:t>
      </w:r>
      <w:r>
        <w:t xml:space="preserve">(</w:t>
      </w:r>
      <w:r>
        <w:t xml:space="preserve">Canary</w:t>
      </w:r>
      <w:r>
        <w:t xml:space="preserve"> </w:t>
      </w:r>
      <w:r>
        <w:t xml:space="preserve">Islands</w:t>
      </w:r>
      <w:r>
        <w:t xml:space="preserve">).”</w:t>
      </w:r>
      <w:r>
        <w:t xml:space="preserve"> </w:t>
      </w:r>
      <w:r>
        <w:rPr>
          <w:iCs/>
          <w:i/>
        </w:rPr>
        <w:t xml:space="preserve">Journal of Applied Volcanology</w:t>
      </w:r>
      <w:r>
        <w:t xml:space="preserve"> </w:t>
      </w:r>
      <w:r>
        <w:t xml:space="preserve">8 (July).</w:t>
      </w:r>
      <w:r>
        <w:t xml:space="preserve"> </w:t>
      </w:r>
      <w:hyperlink r:id="rId41">
        <w:r>
          <w:rPr>
            <w:rStyle w:val="Hyperlink"/>
          </w:rPr>
          <w:t xml:space="preserve">https://doi.org/10.1186/s13617-019-0085-5</w:t>
        </w:r>
      </w:hyperlink>
      <w:r>
        <w:t xml:space="preserve">.</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hyperlink" Id="rId41" Target="https://doi.org/10.1186/s13617-019-0085-5" TargetMode="External" /><Relationship Type="http://schemas.openxmlformats.org/officeDocument/2006/relationships/hyperlink" Id="rId35" Target="https://github.com/typst/typst/issues/1142" TargetMode="External" /><Relationship Type="http://schemas.openxmlformats.org/officeDocument/2006/relationships/hyperlink" Id="rId21"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186/s13617-019-0085-5" TargetMode="External" /><Relationship Type="http://schemas.openxmlformats.org/officeDocument/2006/relationships/hyperlink" Id="rId35" Target="https://github.com/typst/typst/issues/1142" TargetMode="External" /><Relationship Type="http://schemas.openxmlformats.org/officeDocument/2006/relationships/hyperlink" Id="rId21"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dc:title>
  <dc:creator>Josephine Student; John J. Curtin</dc:creator>
  <cp:keywords>Substance use disorders, Precision mental health</cp:keywords>
  <dcterms:created xsi:type="dcterms:W3CDTF">2024-03-08T18:17:04Z</dcterms:created>
  <dcterms:modified xsi:type="dcterms:W3CDTF">2024-03-08T18:17:04Z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ode-links">
    <vt:lpwstr/>
  </property>
  <property fmtid="{D5CDD505-2E9C-101B-9397-08002B2CF9AE}" pid="12" name="date">
    <vt:lpwstr>2024-03-08</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The ARC produces some of the best science around! …</vt:lpwstr>
  </property>
  <property fmtid="{D5CDD505-2E9C-101B-9397-08002B2CF9AE}" pid="24" name="quarto-internal">
    <vt:lpwstr/>
  </property>
  <property fmtid="{D5CDD505-2E9C-101B-9397-08002B2CF9AE}" pid="25" name="remove-hidden">
    <vt:lpwstr>all</vt:lpwstr>
  </property>
  <property fmtid="{D5CDD505-2E9C-101B-9397-08002B2CF9AE}" pid="26" name="template-partials">
    <vt:lpwstr/>
  </property>
  <property fmtid="{D5CDD505-2E9C-101B-9397-08002B2CF9AE}" pid="27" name="theme">
    <vt:lpwstr>cosmo</vt:lpwstr>
  </property>
  <property fmtid="{D5CDD505-2E9C-101B-9397-08002B2CF9AE}" pid="28" name="title-block-style">
    <vt:lpwstr>manuscript</vt:lpwstr>
  </property>
  <property fmtid="{D5CDD505-2E9C-101B-9397-08002B2CF9AE}" pid="29" name="toc-title">
    <vt:lpwstr>Table of contents</vt:lpwstr>
  </property>
  <property fmtid="{D5CDD505-2E9C-101B-9397-08002B2CF9AE}" pid="30" name="unroll-markdown-cells">
    <vt:lpwstr>True</vt:lpwstr>
  </property>
</Properties>
</file>