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4.xml"/>
  <Override ContentType="application/vnd.openxmlformats-officedocument.drawingml.chart+xml" PartName="/word/charts/chart3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Management projektů</w:t>
      </w:r>
    </w:p>
    <w:p w:rsidR="00000000" w:rsidDel="00000000" w:rsidP="00000000" w:rsidRDefault="00000000" w:rsidRPr="00000000" w14:paraId="00000009">
      <w:pPr>
        <w:spacing w:after="0" w:lineRule="auto"/>
        <w:ind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ODHAD CENY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Systém pro podporu řízení rizik v projektech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Tým: USI/FIT</w:t>
      </w:r>
    </w:p>
    <w:p w:rsidR="00000000" w:rsidDel="00000000" w:rsidP="00000000" w:rsidRDefault="00000000" w:rsidRPr="00000000" w14:paraId="00000013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Vypracoval: Bc. Pavel Šesták</w:t>
      </w:r>
    </w:p>
    <w:p w:rsidR="00000000" w:rsidDel="00000000" w:rsidP="00000000" w:rsidRDefault="00000000" w:rsidRPr="00000000" w14:paraId="00000014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Akademický rok: 2022/2023</w:t>
      </w:r>
    </w:p>
    <w:p w:rsidR="00000000" w:rsidDel="00000000" w:rsidP="00000000" w:rsidRDefault="00000000" w:rsidRPr="00000000" w14:paraId="00000015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Datum: 20.4.2023</w:t>
      </w:r>
    </w:p>
    <w:p w:rsidR="00000000" w:rsidDel="00000000" w:rsidP="00000000" w:rsidRDefault="00000000" w:rsidRPr="00000000" w14:paraId="00000016">
      <w:pPr>
        <w:pStyle w:val="Heading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ÚVOD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Tento dokument se zabývá odhadem ceny projektu s názvem „Systém pro řízení rizik v projektech“. Tento projekt je rozdělen do několika fází: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29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Přípravná fáze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Analýza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Návrh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Testování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Nasazení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Předání zákazníkovi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1429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Finalizace projektu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Tyto odhady budou prováděny každým týden až do konečné finalizace projektu. Jako nástroj byla použita metoda EVM, který bude generován z aktualizované aplikace MS project.</w:t>
      </w:r>
    </w:p>
    <w:p w:rsidR="00000000" w:rsidDel="00000000" w:rsidP="00000000" w:rsidRDefault="00000000" w:rsidRPr="00000000" w14:paraId="00000021">
      <w:pPr>
        <w:pStyle w:val="Heading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AKTUÁLNÍ STAV PROJEKTU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863600</wp:posOffset>
                </wp:positionV>
                <wp:extent cx="923925" cy="9239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863600</wp:posOffset>
                </wp:positionV>
                <wp:extent cx="923925" cy="923925"/>
                <wp:effectExtent b="0" l="0" r="0" t="0"/>
                <wp:wrapNone/>
                <wp:docPr id="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1016000</wp:posOffset>
                </wp:positionV>
                <wp:extent cx="923925" cy="9239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1016000</wp:posOffset>
                </wp:positionV>
                <wp:extent cx="923925" cy="923925"/>
                <wp:effectExtent b="0" l="0" r="0" t="0"/>
                <wp:wrapNone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1143000</wp:posOffset>
                </wp:positionV>
                <wp:extent cx="923925" cy="9239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1143000</wp:posOffset>
                </wp:positionV>
                <wp:extent cx="923925" cy="923925"/>
                <wp:effectExtent b="0" l="0" r="0" t="0"/>
                <wp:wrapNone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ind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….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118753</wp:posOffset>
            </wp:positionH>
            <wp:positionV relativeFrom="paragraph">
              <wp:posOffset>181849</wp:posOffset>
            </wp:positionV>
            <wp:extent cx="5760720" cy="1255395"/>
            <wp:effectExtent b="0" l="0" r="0" t="0"/>
            <wp:wrapNone/>
            <wp:docPr descr="Obsah obrázku stůl&#10;&#10;Popis byl vytvořen automaticky" id="31" name="image2.png"/>
            <a:graphic>
              <a:graphicData uri="http://schemas.openxmlformats.org/drawingml/2006/picture">
                <pic:pic>
                  <pic:nvPicPr>
                    <pic:cNvPr descr="Obsah obrázku stůl&#10;&#10;Popis byl vytvořen automaticky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863600</wp:posOffset>
                </wp:positionV>
                <wp:extent cx="923925" cy="9239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863600</wp:posOffset>
                </wp:positionV>
                <wp:extent cx="923925" cy="923925"/>
                <wp:effectExtent b="0" l="0" r="0" t="0"/>
                <wp:wrapNone/>
                <wp:docPr id="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1016000</wp:posOffset>
                </wp:positionV>
                <wp:extent cx="923925" cy="923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7035800</wp:posOffset>
                </wp:positionH>
                <wp:positionV relativeFrom="paragraph">
                  <wp:posOffset>1016000</wp:posOffset>
                </wp:positionV>
                <wp:extent cx="923925" cy="923925"/>
                <wp:effectExtent b="0" l="0" r="0" t="0"/>
                <wp:wrapNone/>
                <wp:docPr id="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Style w:val="Heading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STAV ČLENŮ TÝMU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4572000" cy="2743200"/>
            <wp:docPr id="21" name=""/>
            <a:graphic>
              <a:graphicData uri="http://schemas.openxmlformats.org/drawingml/2006/chart">
                <c:chart r:id="rId13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-644044</wp:posOffset>
            </wp:positionH>
            <wp:positionV relativeFrom="paragraph">
              <wp:posOffset>171450</wp:posOffset>
            </wp:positionV>
            <wp:extent cx="7051139" cy="2865501"/>
            <wp:effectExtent b="0" l="0" r="0" t="0"/>
            <wp:wrapNone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1139" cy="2865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EVM METRIKY</w:t>
      </w:r>
    </w:p>
    <w:p w:rsidR="00000000" w:rsidDel="00000000" w:rsidP="00000000" w:rsidRDefault="00000000" w:rsidRPr="00000000" w14:paraId="00000037">
      <w:pPr>
        <w:ind w:firstLine="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118265" cy="3336966"/>
            <wp:docPr id="23" name=""/>
            <a:graphic>
              <a:graphicData uri="http://schemas.openxmlformats.org/drawingml/2006/chart">
                <c:chart r:id="rId15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ACWP (Actual cost of Work Performed) – Actual Cost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BCWP (Budgeted Cost of Work Performed) – Earned Value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BCWS (Budgeted Cost of Work Scheduled) – Planned Value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833257" cy="2897579"/>
            <wp:docPr id="22" name=""/>
            <a:graphic>
              <a:graphicData uri="http://schemas.openxmlformats.org/drawingml/2006/chart">
                <c:chart r:id="rId16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" w:firstLine="0.9999999999999432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CV (BCWP-ACWP) – Cost Variance</w:t>
      </w:r>
    </w:p>
    <w:p w:rsidR="00000000" w:rsidDel="00000000" w:rsidP="00000000" w:rsidRDefault="00000000" w:rsidRPr="00000000" w14:paraId="0000003D">
      <w:pPr>
        <w:ind w:firstLine="708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SV (BCWP – BCWS) – Schedule Variance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332021" cy="3313215"/>
            <wp:docPr id="24" name=""/>
            <a:graphic>
              <a:graphicData uri="http://schemas.openxmlformats.org/drawingml/2006/chart">
                <c:chart r:id="rId1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SPI (BPCW/BCWS) – Schedule Performance Index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CVI (BCWP/ACWP) – Cost Performance Index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>
        <w:spacing w:after="60" w:before="12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EC391F"/>
    <w:pPr>
      <w:spacing w:after="60" w:before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 w:val="1"/>
    <w:rsid w:val="00A578F2"/>
    <w:pPr>
      <w:keepNext w:val="1"/>
      <w:keepLines w:val="1"/>
      <w:spacing w:after="0" w:before="240"/>
      <w:jc w:val="left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2254B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A578F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Odstavecseseznamem">
    <w:name w:val="List Paragraph"/>
    <w:basedOn w:val="Normln"/>
    <w:uiPriority w:val="34"/>
    <w:qFormat w:val="1"/>
    <w:rsid w:val="00156534"/>
    <w:pPr>
      <w:ind w:left="720"/>
      <w:contextualSpacing w:val="1"/>
    </w:pPr>
  </w:style>
  <w:style w:type="character" w:styleId="Nadpis2Char" w:customStyle="1">
    <w:name w:val="Nadpis 2 Char"/>
    <w:basedOn w:val="Standardnpsmoodstavce"/>
    <w:link w:val="Nadpis2"/>
    <w:uiPriority w:val="9"/>
    <w:rsid w:val="002254B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chart" Target="charts/chart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chart" Target="charts/chart3.xml"/><Relationship Id="rId14" Type="http://schemas.openxmlformats.org/officeDocument/2006/relationships/image" Target="media/image1.png"/><Relationship Id="rId17" Type="http://schemas.openxmlformats.org/officeDocument/2006/relationships/chart" Target="charts/chart4.xml"/><Relationship Id="rId16" Type="http://schemas.openxmlformats.org/officeDocument/2006/relationships/chart" Target="charts/chart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NULL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NULL" TargetMode="External"/></Relationships>
</file>

<file path=word/charts/_rels/chart3.xml.rels><?xml version="1.0" encoding="UTF-8" standalone="yes"?>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NULL" TargetMode="External"/></Relationships>
</file>

<file path=word/charts/_rels/chart4.xml.rels><?xml version="1.0" encoding="UTF-8" standalone="yes"?>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Dokončená práce v 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Mihálová Veronika</c:v>
              </c:pt>
              <c:pt idx="1">
                <c:v>Cibulková Magda</c:v>
              </c:pt>
              <c:pt idx="2">
                <c:v>Kaplan Miloslav</c:v>
              </c:pt>
              <c:pt idx="3">
                <c:v>Kmenta Martin</c:v>
              </c:pt>
              <c:pt idx="4">
                <c:v>Knopp Lubomír</c:v>
              </c:pt>
              <c:pt idx="5">
                <c:v>Kulíšek Vojtěch</c:v>
              </c:pt>
              <c:pt idx="6">
                <c:v>Šesták Pavel</c:v>
              </c:pt>
              <c:pt idx="7">
                <c:v>Štěpánek Miroslav</c:v>
              </c:pt>
              <c:pt idx="8">
                <c:v>Zlevorová Martina</c:v>
              </c:pt>
            </c:strLit>
          </c:cat>
          <c:val>
            <c:numLit>
              <c:formatCode>#\ ##0"%"</c:formatCode>
              <c:ptCount val="9"/>
              <c:pt idx="0">
                <c:v>65</c:v>
              </c:pt>
              <c:pt idx="1">
                <c:v>80</c:v>
              </c:pt>
              <c:pt idx="2">
                <c:v>80</c:v>
              </c:pt>
              <c:pt idx="3">
                <c:v>74</c:v>
              </c:pt>
              <c:pt idx="4">
                <c:v>77</c:v>
              </c:pt>
              <c:pt idx="5">
                <c:v>68</c:v>
              </c:pt>
              <c:pt idx="6">
                <c:v>77</c:v>
              </c:pt>
              <c:pt idx="7">
                <c:v>72</c:v>
              </c:pt>
              <c:pt idx="8">
                <c:v>73</c:v>
              </c:pt>
            </c:numLit>
          </c:val>
          <c:extLst>
            <c:ext xmlns:c16="http://schemas.microsoft.com/office/drawing/2014/chart" uri="{C3380CC4-5D6E-409C-BE32-E72D297353CC}">
              <c16:uniqueId val="{00000000-98D0-469F-9BAD-3A9D66621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-2449.9999999999977</c:v>
              </c:pt>
              <c:pt idx="1">
                <c:v>-5349.9999999999973</c:v>
              </c:pt>
              <c:pt idx="2">
                <c:v>13362.33333333333</c:v>
              </c:pt>
              <c:pt idx="3">
                <c:v>12048.33333333333</c:v>
              </c:pt>
              <c:pt idx="4">
                <c:v>4998.3333333333212</c:v>
              </c:pt>
              <c:pt idx="5">
                <c:v>298.33333333332092</c:v>
              </c:pt>
              <c:pt idx="6">
                <c:v>-6376.6666666666788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898B-49DB-AC59-A074329548DB}"/>
            </c:ext>
          </c:extLst>
        </c:ser>
        <c:ser>
          <c:idx val="1"/>
          <c:order val="1"/>
          <c:tx>
            <c:v>SV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1500</c:v>
              </c:pt>
              <c:pt idx="1">
                <c:v>1500</c:v>
              </c:pt>
              <c:pt idx="2">
                <c:v>6064</c:v>
              </c:pt>
              <c:pt idx="3">
                <c:v>-1200</c:v>
              </c:pt>
              <c:pt idx="4">
                <c:v>-1200</c:v>
              </c:pt>
              <c:pt idx="5">
                <c:v>-1200</c:v>
              </c:pt>
              <c:pt idx="6">
                <c:v>-1200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898B-49DB-AC59-A074329548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28656"/>
        <c:axId val="112645312"/>
      </c:lineChart>
      <c:catAx>
        <c:axId val="10982865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5312"/>
        <c:crosses val="autoZero"/>
        <c:auto val="1"/>
        <c:lblAlgn val="ctr"/>
        <c:lblOffset val="50"/>
        <c:tickLblSkip val="1"/>
        <c:noMultiLvlLbl val="0"/>
      </c:catAx>
      <c:valAx>
        <c:axId val="1126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2865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ACWP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14750</c:v>
              </c:pt>
              <c:pt idx="1">
                <c:v>20050</c:v>
              </c:pt>
              <c:pt idx="2">
                <c:v>51346.666666666672</c:v>
              </c:pt>
              <c:pt idx="3">
                <c:v>73596.666666666672</c:v>
              </c:pt>
              <c:pt idx="4">
                <c:v>116046.66666666669</c:v>
              </c:pt>
              <c:pt idx="5">
                <c:v>155246.66666666669</c:v>
              </c:pt>
              <c:pt idx="6">
                <c:v>191471.66666666669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ACA7-45E7-BCFA-373C9767E525}"/>
            </c:ext>
          </c:extLst>
        </c:ser>
        <c:ser>
          <c:idx val="1"/>
          <c:order val="1"/>
          <c:tx>
            <c:v>BCWP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12300.000000000002</c:v>
              </c:pt>
              <c:pt idx="1">
                <c:v>14700.000000000002</c:v>
              </c:pt>
              <c:pt idx="2">
                <c:v>64709</c:v>
              </c:pt>
              <c:pt idx="3">
                <c:v>85645</c:v>
              </c:pt>
              <c:pt idx="4">
                <c:v>121045</c:v>
              </c:pt>
              <c:pt idx="5">
                <c:v>155545</c:v>
              </c:pt>
              <c:pt idx="6">
                <c:v>185095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ACA7-45E7-BCFA-373C9767E525}"/>
            </c:ext>
          </c:extLst>
        </c:ser>
        <c:ser>
          <c:idx val="2"/>
          <c:order val="2"/>
          <c:tx>
            <c:v>BCWS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10800.000000000002</c:v>
              </c:pt>
              <c:pt idx="1">
                <c:v>13200.000000000002</c:v>
              </c:pt>
              <c:pt idx="2">
                <c:v>58645</c:v>
              </c:pt>
              <c:pt idx="3">
                <c:v>86845</c:v>
              </c:pt>
              <c:pt idx="4">
                <c:v>122245</c:v>
              </c:pt>
              <c:pt idx="5">
                <c:v>156745</c:v>
              </c:pt>
              <c:pt idx="6">
                <c:v>186295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ACA7-45E7-BCFA-373C9767E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816"/>
        <c:axId val="617147600"/>
      </c:lineChart>
      <c:catAx>
        <c:axId val="109830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7147600"/>
        <c:crosses val="autoZero"/>
        <c:auto val="1"/>
        <c:lblAlgn val="ctr"/>
        <c:lblOffset val="100"/>
        <c:noMultiLvlLbl val="0"/>
      </c:catAx>
      <c:valAx>
        <c:axId val="6171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81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1.1388888888888888</c:v>
              </c:pt>
              <c:pt idx="1">
                <c:v>1.1136363636363635</c:v>
              </c:pt>
              <c:pt idx="2">
                <c:v>1.1034018245374713</c:v>
              </c:pt>
              <c:pt idx="3">
                <c:v>0.98618227877252573</c:v>
              </c:pt>
              <c:pt idx="4">
                <c:v>0.99018364759294863</c:v>
              </c:pt>
              <c:pt idx="5">
                <c:v>0.99234425340521226</c:v>
              </c:pt>
              <c:pt idx="6">
                <c:v>0.99355860329048018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830C-4227-A233-9ACFFDD08A13}"/>
            </c:ext>
          </c:extLst>
        </c:ser>
        <c:ser>
          <c:idx val="1"/>
          <c:order val="1"/>
          <c:tx>
            <c:v>CPI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0.83389830508474594</c:v>
              </c:pt>
              <c:pt idx="1">
                <c:v>0.73316708229426442</c:v>
              </c:pt>
              <c:pt idx="2">
                <c:v>1.2602376006232148</c:v>
              </c:pt>
              <c:pt idx="3">
                <c:v>1.1637075954526925</c:v>
              </c:pt>
              <c:pt idx="4">
                <c:v>1.0430717527431492</c:v>
              </c:pt>
              <c:pt idx="5">
                <c:v>1.001921673036458</c:v>
              </c:pt>
              <c:pt idx="6">
                <c:v>0.96669655214435546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830C-4227-A233-9ACFFDD08A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096"/>
        <c:axId val="112648320"/>
      </c:lineChart>
      <c:catAx>
        <c:axId val="10983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8320"/>
        <c:crosses val="autoZero"/>
        <c:auto val="1"/>
        <c:lblAlgn val="ctr"/>
        <c:lblOffset val="100"/>
        <c:noMultiLvlLbl val="0"/>
      </c:catAx>
      <c:valAx>
        <c:axId val="1126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0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sEcmYtMJ7tdc+VszQ1L9Z2kKMQ==">AMUW2mV3zhChtZcpcZu5tjggvzuEt1FePOJqM8eE44fe+xyPkWtBCZp0A368zlfjy3j3cQhnHrvSC72lCvftqL+YVhyo6viFC/CifL+bj1bxPqRADMujQ4M=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2023-04-07T12:51:00Z</dcterms:created>
  <dc:creator>Křížová Sabina (210040)</dc:creator>
</cp:coreProperties>
</file>