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>CATS samplers</w:t>
      </w:r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110B5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A110B5">
              <w:t>Basement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16C4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</w:t>
            </w:r>
            <w:r w:rsidR="00CD10FA">
              <w:rPr>
                <w:b/>
                <w:bCs/>
                <w:sz w:val="20"/>
                <w:lang w:eastAsia="en-US"/>
              </w:rPr>
              <w:t>16369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110B5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287711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110B5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A110B5">
              <w:t>Living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110B5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416370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110B5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A110B5">
              <w:t>Living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287716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110B5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287715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110B5" w:rsidRDefault="00CD10FA" w:rsidP="00463BE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10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Room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463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416363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D10F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287714</w:t>
            </w:r>
          </w:p>
        </w:tc>
      </w:tr>
    </w:tbl>
    <w:p w:rsidR="00BB2C29" w:rsidRPr="00A35EE4" w:rsidRDefault="0089736A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n°:5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083C56">
        <w:rPr>
          <w:rFonts w:ascii="Times New Roman" w:hAnsi="Times New Roman" w:cs="Times New Roman"/>
          <w:b/>
          <w:bCs/>
          <w:sz w:val="20"/>
        </w:rPr>
        <w:t xml:space="preserve"> 24.01.2019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</w:p>
    <w:p w:rsidR="00DF7491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083C56" w:rsidRDefault="0089736A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42FB9">
        <w:rPr>
          <w:rFonts w:ascii="Times New Roman" w:hAnsi="Times New Roman" w:cs="Times New Roman"/>
          <w:b/>
          <w:bCs/>
          <w:sz w:val="20"/>
          <w:szCs w:val="18"/>
        </w:rPr>
        <w:t>Bansko</w:t>
      </w:r>
      <w:r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Pr="00A42FB9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</w:p>
    <w:p w:rsidR="00BB2C29" w:rsidRPr="006A460D" w:rsidRDefault="0089736A" w:rsidP="006A460D">
      <w:pPr>
        <w:rPr>
          <w:rFonts w:ascii="Times New Roman" w:hAnsi="Times New Roman" w:cs="Times New Roman"/>
          <w:bCs/>
          <w:sz w:val="20"/>
        </w:rPr>
      </w:pPr>
      <w:r w:rsidRPr="00A42FB9">
        <w:rPr>
          <w:rFonts w:ascii="Times New Roman" w:hAnsi="Times New Roman" w:cs="Times New Roman"/>
          <w:b/>
          <w:bCs/>
          <w:sz w:val="20"/>
          <w:szCs w:val="18"/>
        </w:rPr>
        <w:t>4, Dame Gruev Str</w:t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6A460D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24.01.2019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Default="00B16C4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21.02.2019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time:</w:t>
      </w:r>
      <w:r w:rsidR="00B16C49">
        <w:rPr>
          <w:b/>
          <w:bCs/>
          <w:sz w:val="20"/>
        </w:rPr>
        <w:t xml:space="preserve"> 28</w:t>
      </w:r>
      <w:r w:rsidR="00AD6F0B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(colour)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Pr="009D5478">
              <w:t>asement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Pr="009D5478">
              <w:t>asement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K</w:t>
            </w:r>
            <w:r w:rsidRPr="009D5478">
              <w:rPr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29,3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823E8F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30,8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Pr="00C240E7">
              <w:t>edroom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K</w:t>
            </w:r>
            <w:r w:rsidRPr="009D5478">
              <w:rPr>
                <w:lang w:val="bg-BG"/>
              </w:rPr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A110B5">
              <w:rPr>
                <w:bCs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823E8F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lang w:eastAsia="en-US"/>
              </w:rPr>
              <w:t>C</w:t>
            </w:r>
            <w:r w:rsidRPr="0082351C">
              <w:rPr>
                <w:bCs/>
                <w:lang w:val="bg-BG" w:eastAsia="en-US"/>
              </w:rPr>
              <w:t>hildren's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A110B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110B5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2A3867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GTS source colour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083C56" w:rsidRDefault="00BB2C29" w:rsidP="00BB2C29">
      <w:pPr>
        <w:rPr>
          <w:rFonts w:ascii="Times New Roman" w:hAnsi="Times New Roman" w:cs="Times New Roman"/>
        </w:rPr>
      </w:pPr>
      <w:r w:rsidRPr="00083C56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083C56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B2C29"/>
    <w:rsid w:val="00034A4D"/>
    <w:rsid w:val="00083C56"/>
    <w:rsid w:val="002A3867"/>
    <w:rsid w:val="003A2055"/>
    <w:rsid w:val="00463BE1"/>
    <w:rsid w:val="0062499F"/>
    <w:rsid w:val="006A460D"/>
    <w:rsid w:val="00761859"/>
    <w:rsid w:val="0089736A"/>
    <w:rsid w:val="00A110B5"/>
    <w:rsid w:val="00AD6F0B"/>
    <w:rsid w:val="00B16C49"/>
    <w:rsid w:val="00BB2C29"/>
    <w:rsid w:val="00CD10FA"/>
    <w:rsid w:val="00DF7491"/>
    <w:rsid w:val="00F2347B"/>
    <w:rsid w:val="00F40245"/>
    <w:rsid w:val="00F5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10</cp:revision>
  <dcterms:created xsi:type="dcterms:W3CDTF">2019-02-05T11:42:00Z</dcterms:created>
  <dcterms:modified xsi:type="dcterms:W3CDTF">2019-03-05T10:20:00Z</dcterms:modified>
</cp:coreProperties>
</file>