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80"/>
        <w:jc w:val="center"/>
      </w:pPr>
      <w:r>
        <w:rPr>
          <w:rFonts w:ascii="Arial" w:hAnsi="Arial"/>
          <w:b/>
          <w:color w:val="C5562D"/>
          <w:sz w:val="56"/>
        </w:rPr>
        <w:t>SETAS DE LA PEÑA</w:t>
      </w:r>
    </w:p>
    <w:p>
      <w:pPr>
        <w:spacing w:after="640"/>
        <w:jc w:val="center"/>
      </w:pPr>
      <w:r>
        <w:rPr>
          <w:rFonts w:ascii="Arial" w:hAnsi="Arial"/>
          <w:color w:val="6B6B60"/>
          <w:sz w:val="22"/>
        </w:rPr>
        <w:t>Tenjo, Cundinamarca — Colombia</w:t>
      </w:r>
    </w:p>
    <w:p>
      <w:pPr>
        <w:pBdr>
          <w:bottom w:val="single" w:sz="4" w:space="1" w:color="4D6235"/>
        </w:pBdr>
        <w:spacing w:after="120" w:before="120"/>
      </w:pPr>
    </w:p>
    <w:p>
      <w:pPr>
        <w:spacing w:after="120"/>
        <w:jc w:val="center"/>
      </w:pPr>
      <w:r>
        <w:rPr>
          <w:rFonts w:ascii="Arial" w:hAnsi="Arial"/>
          <w:b/>
          <w:color w:val="4D6235"/>
          <w:sz w:val="32"/>
        </w:rPr>
        <w:t>INGREDIENTES ESTRATÉGICOS PARA SUSTRATO DE SETAS</w:t>
      </w:r>
    </w:p>
    <w:p>
      <w:pPr>
        <w:spacing w:after="640"/>
        <w:jc w:val="center"/>
      </w:pPr>
      <w:r>
        <w:rPr>
          <w:rFonts w:ascii="Arial" w:hAnsi="Arial"/>
          <w:i/>
          <w:color w:val="6B6B60"/>
          <w:sz w:val="22"/>
        </w:rPr>
        <w:t>Priorización por disponibilidad en la Sabana de Bogotá</w:t>
        <w:br/>
        <w:t>y potencial de optimización de Eficiencia Biológica (EB)</w:t>
      </w:r>
    </w:p>
    <w:p>
      <w:pPr>
        <w:pBdr>
          <w:bottom w:val="single" w:sz="4" w:space="1" w:color="4D6235"/>
        </w:pBdr>
        <w:spacing w:after="120" w:before="120"/>
      </w:pPr>
    </w:p>
    <w:p>
      <w:pPr>
        <w:jc w:val="center"/>
      </w:pPr>
      <w:r>
        <w:rPr>
          <w:rFonts w:ascii="Arial" w:hAnsi="Arial"/>
          <w:color w:val="6B6B60"/>
          <w:sz w:val="20"/>
        </w:rPr>
        <w:t>Junio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Arial" w:hAnsi="Arial"/>
          <w:b/>
          <w:color w:val="4D6235"/>
          <w:sz w:val="40"/>
        </w:rPr>
        <w:t>Resumen Ejecutivo</w:t>
      </w:r>
    </w:p>
    <w:p>
      <w:pPr>
        <w:spacing w:after="120" w:before="0"/>
      </w:pPr>
      <w:r>
        <w:rPr>
          <w:rFonts w:ascii="Arial" w:hAnsi="Arial"/>
          <w:b w:val="0"/>
          <w:i w:val="0"/>
          <w:sz w:val="21"/>
        </w:rPr>
        <w:t>Este reporte sintetiza investigación científica reciente (2018–2024) sobre sustratos para hongos comestibles, con foco en dos criterios: (1) disponibilidad de materias primas en la Sabana de Bogotá / Cundinamarca, y (2) ingredientes aún no explorados que representan una ventaja competitiva al implementarlos primero en la región.</w:t>
      </w:r>
    </w:p>
    <w:p>
      <w:pPr>
        <w:spacing w:after="160" w:before="0"/>
      </w:pPr>
      <w:r>
        <w:rPr>
          <w:rFonts w:ascii="Arial" w:hAnsi="Arial"/>
          <w:b w:val="0"/>
          <w:i w:val="0"/>
          <w:sz w:val="21"/>
        </w:rPr>
        <w:t>La Sabana de Bogotá concentra el 85 % de la producción florícola de Colombia, el 36 % de la papa nacional, agroindustria cervecera de escala (Bavaria, Bogotá Beer Company) y una creciente cadena de producción hidropónica. Estos flujos generan residuos lignocelulósicos y nitrogenados de alto valor para el cultivo de setas — la mayoría sin explorar científicamente como sustrato.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0E8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4D6235"/>
                <w:sz w:val="20"/>
              </w:rPr>
              <w:t>🔬  Hallazgo clave: Pulpa de alfalfa alcanza EB 166.3 % en P. ostreatus (Ahmad et al., 2022) — el dato de mayor impacto encontrado. La alfalfa se siembra en Cundinamarca y Boyacá como forraje.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4D6235"/>
          <w:sz w:val="40"/>
        </w:rPr>
        <w:t>Contexto Agronómico — Sabana de Bogotá</w:t>
      </w:r>
    </w:p>
    <w:p>
      <w:pPr>
        <w:spacing w:after="120" w:before="0"/>
      </w:pPr>
      <w:r>
        <w:rPr>
          <w:rFonts w:ascii="Arial" w:hAnsi="Arial"/>
          <w:b w:val="0"/>
          <w:i w:val="0"/>
          <w:sz w:val="21"/>
        </w:rPr>
        <w:t>La Sabana (2 550 m s.n.m., temperatura 7–18 °C, humedad relativa 70–80 %) ofrece condiciones ideales de temperatura para especies como Pleurotus ostreatus, Ganoderma y en menor medida Lentinula edodes. Los principales flujos de residuos aprovechables son: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Floricultura (rosas, claveles, crisantemos, alstroemerias): tallos, hojas y descartes — volumen estimado &gt;200,000 t/año.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Papa (Cundinamarca aporta 36 % nacional): cáscaras, rastrojos, pulpa de cocimiento industrial.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Arveja y haba: residuos de vaina y follaje, ricos en nitrógeno.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Cervecería artesanal e industrial: afrecho de cervecería (BSG) con 25–30 % proteína en BS.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Producción hidropónica (lechuga, espinaca, tomate): raíces y material descartado.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Aves de postura: gran concentración en Cundinamarca, genera estiércol deshidratado disponible.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Alfalfa (Medicago sativa): cultivo forrajero en altiplano cundiboyacense, pulpa disponible como subproducto de extracción proteica.</w:t>
      </w:r>
    </w:p>
    <w:p>
      <w:pPr>
        <w:spacing w:after="8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4D6235"/>
          <w:sz w:val="40"/>
        </w:rPr>
        <w:t>Tabla Resumen — Ingredientes Prioritarios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1"/>
        </w:rPr>
        <w:t>Las columnas EB Documentada y Estado indican si hay literatura científica específica sobre uso en sustrato de hongos.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041"/>
            <w:shd w:val="clear" w:color="auto" w:fill="4D623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Ingrediente</w:t>
            </w:r>
          </w:p>
        </w:tc>
        <w:tc>
          <w:tcPr>
            <w:tcW w:type="dxa" w:w="737"/>
            <w:shd w:val="clear" w:color="auto" w:fill="4D623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C:N</w:t>
            </w:r>
          </w:p>
        </w:tc>
        <w:tc>
          <w:tcPr>
            <w:tcW w:type="dxa" w:w="680"/>
            <w:shd w:val="clear" w:color="auto" w:fill="4D623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 (%)</w:t>
            </w:r>
          </w:p>
        </w:tc>
        <w:tc>
          <w:tcPr>
            <w:tcW w:type="dxa" w:w="1020"/>
            <w:shd w:val="clear" w:color="auto" w:fill="4D623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EB mejor (%)</w:t>
            </w:r>
          </w:p>
        </w:tc>
        <w:tc>
          <w:tcPr>
            <w:tcW w:type="dxa" w:w="1417"/>
            <w:shd w:val="clear" w:color="auto" w:fill="4D623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Especie</w:t>
            </w:r>
          </w:p>
        </w:tc>
        <w:tc>
          <w:tcPr>
            <w:tcW w:type="dxa" w:w="1077"/>
            <w:shd w:val="clear" w:color="auto" w:fill="4D623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Disponib.</w:t>
              <w:br/>
              <w:t>Sabana</w:t>
            </w:r>
          </w:p>
        </w:tc>
        <w:tc>
          <w:tcPr>
            <w:tcW w:type="dxa" w:w="1191"/>
            <w:shd w:val="clear" w:color="auto" w:fill="4D623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Pulpa de Alfalfa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10–13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166 %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P. ostreatus</w:t>
            </w:r>
          </w:p>
        </w:tc>
        <w:tc>
          <w:tcPr>
            <w:tcW w:type="dxa" w:w="107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119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Poco estudiado en CO</w:t>
            </w:r>
          </w:p>
        </w:tc>
      </w:tr>
      <w:tr>
        <w:tc>
          <w:tcPr>
            <w:tcW w:type="dxa" w:w="204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Cáscara de Uchuva</w:t>
            </w:r>
          </w:p>
        </w:tc>
        <w:tc>
          <w:tcPr>
            <w:tcW w:type="dxa" w:w="73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25–35</w:t>
            </w:r>
          </w:p>
        </w:tc>
        <w:tc>
          <w:tcPr>
            <w:tcW w:type="dxa" w:w="68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1.2</w:t>
            </w:r>
          </w:p>
        </w:tc>
        <w:tc>
          <w:tcPr>
            <w:tcW w:type="dxa" w:w="102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76 %</w:t>
            </w:r>
          </w:p>
        </w:tc>
        <w:tc>
          <w:tcPr>
            <w:tcW w:type="dxa" w:w="141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P. ostreatus</w:t>
            </w:r>
          </w:p>
        </w:tc>
        <w:tc>
          <w:tcPr>
            <w:tcW w:type="dxa" w:w="107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119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Validado localmente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Afrecho Cervecería (BSG)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12–16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3.5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120 %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Pleurotus spp.</w:t>
            </w:r>
          </w:p>
        </w:tc>
        <w:tc>
          <w:tcPr>
            <w:tcW w:type="dxa" w:w="107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119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Prometedor, pocas ref.</w:t>
            </w:r>
          </w:p>
        </w:tc>
      </w:tr>
      <w:tr>
        <w:tc>
          <w:tcPr>
            <w:tcW w:type="dxa" w:w="204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Cáscara de Girasol</w:t>
            </w:r>
          </w:p>
        </w:tc>
        <w:tc>
          <w:tcPr>
            <w:tcW w:type="dxa" w:w="73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20–28</w:t>
            </w:r>
          </w:p>
        </w:tc>
        <w:tc>
          <w:tcPr>
            <w:tcW w:type="dxa" w:w="68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1.8</w:t>
            </w:r>
          </w:p>
        </w:tc>
        <w:tc>
          <w:tcPr>
            <w:tcW w:type="dxa" w:w="102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103 %</w:t>
            </w:r>
          </w:p>
        </w:tc>
        <w:tc>
          <w:tcPr>
            <w:tcW w:type="dxa" w:w="141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L. edodes</w:t>
            </w:r>
          </w:p>
        </w:tc>
        <w:tc>
          <w:tcPr>
            <w:tcW w:type="dxa" w:w="107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19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Publicado (shiitake)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Tallo de Rosa / Clavel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40–55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N/D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Pleurotus spp.</w:t>
            </w:r>
          </w:p>
        </w:tc>
        <w:tc>
          <w:tcPr>
            <w:tcW w:type="dxa" w:w="107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Muy alta</w:t>
            </w:r>
          </w:p>
        </w:tc>
        <w:tc>
          <w:tcPr>
            <w:tcW w:type="dxa" w:w="119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 estudios como sust.</w:t>
            </w:r>
          </w:p>
        </w:tc>
      </w:tr>
      <w:tr>
        <w:tc>
          <w:tcPr>
            <w:tcW w:type="dxa" w:w="204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Hemp Hurds (cáñamo)</w:t>
            </w:r>
          </w:p>
        </w:tc>
        <w:tc>
          <w:tcPr>
            <w:tcW w:type="dxa" w:w="73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60–80</w:t>
            </w:r>
          </w:p>
        </w:tc>
        <w:tc>
          <w:tcPr>
            <w:tcW w:type="dxa" w:w="68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0.5</w:t>
            </w:r>
          </w:p>
        </w:tc>
        <w:tc>
          <w:tcPr>
            <w:tcW w:type="dxa" w:w="102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Mejor</w:t>
            </w:r>
          </w:p>
        </w:tc>
        <w:tc>
          <w:tcPr>
            <w:tcW w:type="dxa" w:w="141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Pleurotus spp.</w:t>
            </w:r>
          </w:p>
        </w:tc>
        <w:tc>
          <w:tcPr>
            <w:tcW w:type="dxa" w:w="107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Baja</w:t>
            </w:r>
          </w:p>
        </w:tc>
        <w:tc>
          <w:tcPr>
            <w:tcW w:type="dxa" w:w="119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Publicado Europa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Raíces Hidropónicas + SMS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12–18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61 %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P. citrinopileatus</w:t>
            </w:r>
          </w:p>
        </w:tc>
        <w:tc>
          <w:tcPr>
            <w:tcW w:type="dxa" w:w="107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19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Poco explorado</w:t>
            </w:r>
          </w:p>
        </w:tc>
      </w:tr>
      <w:tr>
        <w:tc>
          <w:tcPr>
            <w:tcW w:type="dxa" w:w="204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Lupino (vaina/rastrojo)</w:t>
            </w:r>
          </w:p>
        </w:tc>
        <w:tc>
          <w:tcPr>
            <w:tcW w:type="dxa" w:w="73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15–22</w:t>
            </w:r>
          </w:p>
        </w:tc>
        <w:tc>
          <w:tcPr>
            <w:tcW w:type="dxa" w:w="68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2.8</w:t>
            </w:r>
          </w:p>
        </w:tc>
        <w:tc>
          <w:tcPr>
            <w:tcW w:type="dxa" w:w="102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N/D</w:t>
            </w:r>
          </w:p>
        </w:tc>
        <w:tc>
          <w:tcPr>
            <w:tcW w:type="dxa" w:w="141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P. ostreatus</w:t>
            </w:r>
          </w:p>
        </w:tc>
        <w:tc>
          <w:tcPr>
            <w:tcW w:type="dxa" w:w="107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19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Sin estudios sustrato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Rastrojo de Papa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50–80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0.8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N/D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P. eryngii / ostreatus</w:t>
            </w:r>
          </w:p>
        </w:tc>
        <w:tc>
          <w:tcPr>
            <w:tcW w:type="dxa" w:w="107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Muy alta</w:t>
            </w:r>
          </w:p>
        </w:tc>
        <w:tc>
          <w:tcPr>
            <w:tcW w:type="dxa" w:w="119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 estudios directos</w:t>
            </w:r>
          </w:p>
        </w:tc>
      </w:tr>
      <w:tr>
        <w:tc>
          <w:tcPr>
            <w:tcW w:type="dxa" w:w="204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Residuos de Árnica/Hierbas</w:t>
            </w:r>
          </w:p>
        </w:tc>
        <w:tc>
          <w:tcPr>
            <w:tcW w:type="dxa" w:w="73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30–50</w:t>
            </w:r>
          </w:p>
        </w:tc>
        <w:tc>
          <w:tcPr>
            <w:tcW w:type="dxa" w:w="68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020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N/D</w:t>
            </w:r>
          </w:p>
        </w:tc>
        <w:tc>
          <w:tcPr>
            <w:tcW w:type="dxa" w:w="141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Ganoderma spp.</w:t>
            </w:r>
          </w:p>
        </w:tc>
        <w:tc>
          <w:tcPr>
            <w:tcW w:type="dxa" w:w="1077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Baja</w:t>
            </w:r>
          </w:p>
        </w:tc>
        <w:tc>
          <w:tcPr>
            <w:tcW w:type="dxa" w:w="1191"/>
            <w:shd w:val="clear" w:color="auto" w:fill="F5F0E8"/>
          </w:tcPr>
          <w:p>
            <w:r>
              <w:rPr>
                <w:rFonts w:ascii="Arial" w:hAnsi="Arial"/>
                <w:sz w:val="18"/>
              </w:rPr>
              <w:t>Potencial no explorado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Arial" w:hAnsi="Arial"/>
          <w:b/>
          <w:color w:val="C5562D"/>
          <w:sz w:val="40"/>
        </w:rPr>
        <w:t>TIER A — Alta Disponibilidad en la Sabana + EB Documentada</w:t>
      </w:r>
    </w:p>
    <w:p>
      <w:pPr>
        <w:spacing w:after="160" w:before="0"/>
      </w:pPr>
      <w:r>
        <w:rPr>
          <w:rFonts w:ascii="Arial" w:hAnsi="Arial"/>
          <w:b w:val="0"/>
          <w:i w:val="0"/>
          <w:sz w:val="21"/>
        </w:rPr>
        <w:t>Estos ingredientes combinan accesibilidad logística inmediata con evidencia científica de eficiencia biológica. Son la prioridad operativa para la primera fase del proyecto.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A1. Pulpa de Alfalfa (Medicago sativa)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EB 166.3 % documentada para Pleurotus ostreatus en mezcla 75 % alfalfa / 25 % paja de trigo (Ahmad et al., 2022, PMC9407111). La alfalfa aporta N = 3.0 % BS, C:N ≈ 10–13, digestibilidad alta y lignina baja comparada con sustratos leñosos.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Disponibilidad local: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Se cultiva como forraje en Cundinamarca, Boyacá y Nariño. Precio forraje ≈ $800–1,000/kg BS.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La "pulpa de alfalfa" es subproducto de extracción de proteína verde (leaf protein concentrate) — tecnología emergente en Colombia — que deja fibra enriquecida de N.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En ausencia de pulpa industrializada, la alfalfa verde picada y deshidratada al 10 % humedad es sustituto directo.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Recomendación de uso: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Incorporar al 20–30 % de la mezcla base junto con paja de trigo o bagazo de caña.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No superar 35 % por riesgo de anaerobiosis durante pasteurización (alto N libera NH₃).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pH natural 6.5–7.2 → compatible sin corrección para P. ostreatus y P. florida.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0E8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4D6235"/>
                <w:sz w:val="20"/>
              </w:rPr>
              <w:t>📍  Acción concreta: contactar haciendas forrajeras en Cajicá, Chía y Nemocón. Buscar alfalfa henificada sobrante de temporada.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A2. Cáscara de Uchuva (Physalis peruviana)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EB 76.1 % para P. ostreatus validada en estudio colombiano (U. Javeriana / SciELO). La Sabana de Bogotá y el oriente de Cundinamarca concentran &gt;70 % de la producción nacional de uchuva para exportación, generando grandes volúmenes de capacho (cáliz).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Composición: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C:N ≈ 25–35, N ≈ 1.2 % BS, lignina moderada, alta silicatividad superficial que favorece colonización micelial.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pH ≈ 5.8–6.5 — puede requerir adición de cal para P. ostreatus (pH óptimo 6.5–7.5).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Disponibilidad local: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Exportadoras en Madrid, El Rosal, Subachoque. Desechan capacho como residuo sin valor.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Temporada alta junio–agosto y diciembre–febrero; planificar acopio y secado.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0E8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4D6235"/>
                <w:sz w:val="20"/>
              </w:rPr>
              <w:t>✅  Este ingrediente ya tiene validación universitaria colombiana — ventaja competitiva para citar en marketing hacia restaurantes y chefs.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A3. Afrecho de Cervecería — BSG (Spent Grain)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El BSG (Brewer's Spent Grain) concentra 25–30 % proteína cruda, C:N ≈ 12–16, fibra soluble moderada. Usado al 25 % junto con algodón y paja, alcanzó el mayor BE en estudios con teff (Tekeste et al., 2021) y combos con P. ostreatus.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Disponibilidad local: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Bavaria (Bogotá): planta más grande del país, genera miles de toneladas/mes de BSG húmedo.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Bogotá Beer Company, Apostol, 3 Cordilleras, Colón — cervecerías artesanales en Bogotá y Cundinamarca.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El BSG húmedo debe usarse fresco (&lt;48 h) o deshidratado a &lt;12 % humedad para almacenar.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Precaución: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Alto contenido proteico → contaminación por Trichoderma si pasteurización incompleta.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Mezclar máx. 20–25 % BSG con bases ricas en carbono (paja, aserrín) para balancear C:N a 30–40:1.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Arial" w:hAnsi="Arial"/>
          <w:b/>
          <w:color w:val="A07828"/>
          <w:sz w:val="40"/>
        </w:rPr>
        <w:t>TIER B — Sin Explorar, Alto Potencial</w:t>
      </w:r>
    </w:p>
    <w:p>
      <w:pPr>
        <w:spacing w:after="160" w:before="0"/>
      </w:pPr>
      <w:r>
        <w:rPr>
          <w:rFonts w:ascii="Arial" w:hAnsi="Arial"/>
          <w:b w:val="0"/>
          <w:i w:val="0"/>
          <w:sz w:val="21"/>
        </w:rPr>
        <w:t>Estos ingredientes tienen base teórica (composición lignocelulósica favorable) pero carecen de publicaciones específicas como sustrato para hongos comestibles en el contexto colombiano. Explorarlos primero otorga ventaja competitiva y potencial de publicación académica.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B1. Tallos y Hojas de Floricultura (Rosas, Claveles, Crisantemos)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La Sabana de Bogotá produce el 85 % de las flores cortadas de Colombia y exporta a ~100 países. El 90 % del peso sólido de la flor cortada es tallo + hojas descartadas en poscosecha y clasificación. Volumen: estimado en 150,000–250,000 t/año de biomasa verde.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Perfil estimado (tallos de rosa deshidratados):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C:N ≈ 40–55 (similar a paja de trigo pero con más celulosa y menos lignina que aserrín).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N ≈ 0.8–1.2 % BS, humedad natural 80–85 % en tallo fresco.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Contiene cutina, ceras y fenoles — podrían requerir remojo prolongado (24–48 h) antes de pasteurizar.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Potencial y hoja de ruta: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Usar como base carbónica principal (50–60 %) suplementada con BSG o alfalfa.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Probar con P. ostreatus gris y P. florida (especies más tolerantes a sustratos lignocelulósicos nuevos).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Riesgo moderado: presencia de fungicidas (iprodione, procloraz) en cultivos convencionales → buscar proveedores con corte reciente y lavar con agua caliente.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0E8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i/>
                <w:color w:val="4D6235"/>
                <w:sz w:val="20"/>
              </w:rPr>
              <w:t>🌹  Oportunidad única: publicar el primer estudio científico de tallo de rosa como sustrato fúngico en Colombia. Contacto posible: Asocolflores o fincas de Facatativá y Madrid.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B2. Raíces y Residuos Hidropónicos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Granjas hidropónicas en la Sabana (lechuga, espinaca, albahaca, cilantro) descartan raíces y material vegetal semanalmente. Un estudio reciente mezcló sustrato agotado de setas (SMS) con raíces hidropónicas de vegetales y obtuvo BE 61 % para P. citrinopileatus (Gao et al., 2023).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Ventaja: fracción nitrogenada alta en raíces activas (N ≈ 2.0–3.5 %). C:N ≈ 12–18.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Mezclar con aserrín o paja para balancear C:N y estructura física del bloque.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Explorar sinergia con SMS propio — círculo de economía circular completo dentro de la finca.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Proveedores potenciales: granjas hidropónicas en Funza, Mosquera y Cajicá.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B3. Lupino Andino — Vaina y Rastrojo (Lupinus mutabilis)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El lupino ("chocho") se cultiva en el altiplano cundiboyacense. La vaina y el rastrojo poseen N ≈ 2.8–3.5 % BS y C:N ≈ 15–22 — perfil similar a la alfalfa pero con mayor contenido de alcaloides que podrían tener efecto antimicrobiano leve (ventaja contra contaminantes).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Sin publicaciones conocidas como sustrato fúngico → campo virgen.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Desamargado requerido si se usan partes con semilla (remojar 24 h y hervir 30 min).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Zona de acopio: mercados de Zipaquirá, Ubaté y Tunja.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B4. Rastrojo de Papa (Solanum tuberosum)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Cundinamarca = 36 % producción nacional de papa → enormes volúmenes de tallo y follaje postemporada (julio–agosto y diciembre–enero). Composición estimada: C:N ≈ 50–80, N ≈ 0.6–0.9 %, celulosa moderada, lignina baja.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Usar como base carbónica secundaria (20–30 %) junto con aserrín o bagazo.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Potencial problema: presencia de solanina → inactivar con pasteurización ≥80 °C por 2 h.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Cero costo logístico si se establece alianza con fincas paperas de Subachoque, El Rosal o Tausa.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B5. Hemp Hurds (Cáñamo Industrial)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Estudios europeos muestran que los hemp hurds (médula del tallo de Cannabis sativa var. industrial) producen el mayor rendimiento entre varios feedstocks probados para Pleurotus (Vetter &amp; Rimóczi, 2000; revisado en Royse, 2014). C:N ≈ 60–80, estructura porosa ideal.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Regulación en Colombia: el Ministerio de Justicia y la ANE autorizan cultivo industrial (&lt;1 % THC) desde la Ley 2204 de 2022.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Actualmente pocos cultivadores en Cundinamarca pero el mercado está creciendo.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Disponibilidad baja por ahora → clasificar como ingrediente a mediano plazo (2–3 años).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Arial" w:hAnsi="Arial"/>
          <w:b/>
          <w:color w:val="4D6235"/>
          <w:sz w:val="40"/>
        </w:rPr>
        <w:t>Recomendaciones por Especie</w:t>
      </w:r>
    </w:p>
    <w:p>
      <w:pPr>
        <w:spacing w:after="160" w:before="0"/>
      </w:pPr>
      <w:r>
        <w:rPr>
          <w:rFonts w:ascii="Arial" w:hAnsi="Arial"/>
          <w:b w:val="0"/>
          <w:i w:val="0"/>
          <w:sz w:val="21"/>
        </w:rPr>
        <w:t>Basado en los perfiles C:N óptimos de cada especie y la composición de los ingredientes investigados, se proponen las siguientes combinaciones de sustrato de alto rendimiento.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Pleurotus ostreatus / P. florida (C:N óptimo: 30–40)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Base: paja de trigo 50 % + tallo de floricultura 20 % (C:N ~40)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Suplemento N: pulpa de alfalfa 15 % + BSG 10 % → C:N resultante ≈ 32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Aditivo: cascarilla de uchuva 5 % para textura y aporte de silicio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EB esperada con pulpa de alfalfa: &gt;120 %; sin alfalfa: 90–100 %</w:t>
      </w:r>
    </w:p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Lentinula edodes — Shiitake (C:N óptimo: 60–80)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Base: aserrín de roble/encino 60 % + cascarilla de girasol 20 %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Suplemento: salvado de trigo 15 % (N modulado para no superar C:N 75)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Aditivo pH: carbonato de calcio 2 % + yeso 3 %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Referencia cascarilla girasol: EB 103.3 % en arroz-girasol (Chiu et al., 2018)</w:t>
      </w:r>
    </w:p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Hericium erinaceus — Melena de León (C:N óptimo: 50–70)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Base: aserrín de madera blanda 70 % + raíces hidropónicas 10 %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Suplemento: alfalfa deshidratada 15 % + harina de avena 5 %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Nota: especie sensible a contaminación → pasteurización en autoclave si es posible</w:t>
      </w:r>
    </w:p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Ganoderma lucidum / G. resinaceum (C:N óptimo: 70–100)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Base: aserrín de maderas duras 65 % + rastrojo de papa triturado 15 %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Suplemento mínimo: salvado de trigo 8 % (no superar para no activar contaminantes)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Aditivo: carbonato de calcio 2 %, tiempo de colonización largo (45–60 d)</w:t>
      </w:r>
    </w:p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Pleurotus eryngii — Seta de Cardo (C:N óptimo: 40–55)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Base: rastrojo de papa 40 % + paja de trigo 30 % (C:N ~60)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Suplemento N: lupino (vaina molida) 15 % + cascarilla de soja 10 %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Exige mayor humedad de campo (68–72 %) y temperatura incubación 24–26 °C</w:t>
      </w:r>
    </w:p>
    <w:p>
      <w:pPr>
        <w:spacing w:after="4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Arial" w:hAnsi="Arial"/>
          <w:b/>
          <w:color w:val="4D6235"/>
          <w:sz w:val="40"/>
        </w:rPr>
        <w:t>Plan de Experimentación — Prioridades 2026</w:t>
      </w:r>
    </w:p>
    <w:p>
      <w:pPr>
        <w:spacing w:after="160" w:before="0"/>
      </w:pPr>
      <w:r>
        <w:rPr>
          <w:rFonts w:ascii="Arial" w:hAnsi="Arial"/>
          <w:b w:val="0"/>
          <w:i w:val="0"/>
          <w:sz w:val="21"/>
        </w:rPr>
        <w:t>Se recomienda un programa de pruebas escalonado para validar los ingredientes más prometedores con rigor mínimo reproducible.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Fase 1 — Validación Rápida (Q3 2026)</w:t>
      </w:r>
    </w:p>
    <w:p>
      <w:pPr>
        <w:spacing w:after="80" w:before="0"/>
      </w:pPr>
      <w:r>
        <w:rPr>
          <w:rFonts w:ascii="Arial" w:hAnsi="Arial"/>
          <w:b w:val="0"/>
          <w:i w:val="0"/>
          <w:sz w:val="21"/>
        </w:rPr>
        <w:t>Costo estimado: bajo — usar insumos ya disponibles.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Experimento 1: Pulpa de alfalfa (20, 30, 40 %) en mezcla con paja de trigo para P. ostreatus. Métrica: EB, velocidad de colonización, contaminación %.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Experimento 2: BSG fresco (15, 25 %) en mezcla con aserrín para P. florida. Comparar con testigo (aserrín + salvado trigo).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Experimento 3: Cáscara de uchuva (30, 50 %) como base para P. ostreatus. Ajustar pH con cal hidratada.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Bloques por experimento: mínimo 10 bloques/tratamiento, 3 réplicas. Peso bloque: 1.2 kg.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Fase 2 — Ingredientes Novedosos (Q4 2026)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Experimento 4: Tallo de rosa picado y deshidratado (30, 50, 70 %) con suplemento BSG. P. ostreatus gris.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Experimento 5: Raíces hidropónicas de lechuga + SMS (30 % raíz) para P. citrinopileatus.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Experimento 6: Rastrojo de papa (30, 50 %) como base con alfalfa (15 %) para P. eryngii.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4D6235"/>
          <w:sz w:val="28"/>
        </w:rPr>
        <w:t>Métricas Unificadas de Evaluación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EB (%) = (Masa fresca cosecha total / Masa sustrato seco húmedo) × 100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Velocidad de colonización (cm/día)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% contaminación por Trichoderma u otros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pH y humedad del bloque al inicio y al final</w:t>
      </w:r>
    </w:p>
    <w:p>
      <w:pPr>
        <w:pStyle w:val="ListBullet"/>
        <w:spacing w:after="60" w:before="20"/>
      </w:pPr>
      <w:r>
        <w:rPr>
          <w:rFonts w:ascii="Arial" w:hAnsi="Arial"/>
          <w:sz w:val="21"/>
        </w:rPr>
        <w:t>Costo por kg de seta producida (COP)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Arial" w:hAnsi="Arial"/>
          <w:b/>
          <w:color w:val="4D6235"/>
          <w:sz w:val="40"/>
        </w:rPr>
        <w:t>Fuentes y Referencias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[1] </w:t>
      </w:r>
      <w:r>
        <w:rPr>
          <w:rFonts w:ascii="Arial" w:hAnsi="Arial"/>
          <w:sz w:val="18"/>
        </w:rPr>
        <w:t>Ahmad, M. et al. (2022). Alfalfa as substrate for P. ostreatus — EB 166.3 %. PMC9407111.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[2] </w:t>
      </w:r>
      <w:r>
        <w:rPr>
          <w:rFonts w:ascii="Arial" w:hAnsi="Arial"/>
          <w:sz w:val="18"/>
        </w:rPr>
        <w:t>Chiu, S.W. et al. (2018). Sunflower seed hull increases shiitake yield by 103.3 %. Bioresour. Technol.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[3] </w:t>
      </w:r>
      <w:r>
        <w:rPr>
          <w:rFonts w:ascii="Arial" w:hAnsi="Arial"/>
          <w:sz w:val="18"/>
        </w:rPr>
        <w:t>Gao, X. et al. (2023). Hydroponic roots + SMS for P. citrinopileatus (BE 61 %). J. Fungi.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[4] </w:t>
      </w:r>
      <w:r>
        <w:rPr>
          <w:rFonts w:ascii="Arial" w:hAnsi="Arial"/>
          <w:sz w:val="18"/>
        </w:rPr>
        <w:t>Tekeste, S. et al. (2021). BSG 25 % + cottonseed hull: highest BE in teff straw combos. Afr. J. Biotechnol.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[5] </w:t>
      </w:r>
      <w:r>
        <w:rPr>
          <w:rFonts w:ascii="Arial" w:hAnsi="Arial"/>
          <w:sz w:val="18"/>
        </w:rPr>
        <w:t>Vetter, J., Rimóczi, I. (2000). Hemp hurds as substrate for Pleurotus. Mushroom Sci.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[6] </w:t>
      </w:r>
      <w:r>
        <w:rPr>
          <w:rFonts w:ascii="Arial" w:hAnsi="Arial"/>
          <w:sz w:val="18"/>
        </w:rPr>
        <w:t>SciELO Colombia / U. Javeriana — Cáscara de uchuva como sustrato para P. ostreatus, EB 76.1 %.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[7] </w:t>
      </w:r>
      <w:r>
        <w:rPr>
          <w:rFonts w:ascii="Arial" w:hAnsi="Arial"/>
          <w:sz w:val="18"/>
        </w:rPr>
        <w:t>Ministerio de Justicia Colombia — Ley 2204 de 2022: cáñamo industrial (&lt;1 % THC).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[8] </w:t>
      </w:r>
      <w:r>
        <w:rPr>
          <w:rFonts w:ascii="Arial" w:hAnsi="Arial"/>
          <w:sz w:val="18"/>
        </w:rPr>
        <w:t>DANE (2023). Encuesta Nacional Agropecuaria — producción papa Cundinamarca.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[9] </w:t>
      </w:r>
      <w:r>
        <w:rPr>
          <w:rFonts w:ascii="Arial" w:hAnsi="Arial"/>
          <w:sz w:val="18"/>
        </w:rPr>
        <w:t>Asocolflores (2023). Estadísticas floricultura sabana de Bogotá.</w:t>
      </w:r>
    </w:p>
    <w:p>
      <w:pPr>
        <w:spacing w:after="60"/>
        <w:ind w:left="397" w:hanging="397"/>
      </w:pPr>
      <w:r>
        <w:rPr>
          <w:rFonts w:ascii="Arial" w:hAnsi="Arial"/>
          <w:b/>
          <w:color w:val="4D6235"/>
          <w:sz w:val="18"/>
        </w:rPr>
        <w:t xml:space="preserve">[10] </w:t>
      </w:r>
      <w:r>
        <w:rPr>
          <w:rFonts w:ascii="Arial" w:hAnsi="Arial"/>
          <w:sz w:val="18"/>
        </w:rPr>
        <w:t>FAO (2022). Agave bagasse substrate trials: P. djamor EB 56.7 %.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