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2E5C8E"/>
          <w:sz w:val="44"/>
          <w:szCs w:val="44"/>
        </w:rPr>
        <w:t xml:space="preserve">SETD5 Syndrome Foundation</w:t>
      </w:r>
    </w:p>
    <w:p>
      <w:pPr>
        <w:spacing w:after="80" w:before="0"/>
      </w:pPr>
      <w:r>
        <w:rPr>
          <w:rFonts w:ascii="Arial" w:cs="Arial" w:eastAsia="Arial" w:hAnsi="Arial"/>
          <w:color w:val="555555"/>
          <w:sz w:val="32"/>
          <w:szCs w:val="32"/>
        </w:rPr>
        <w:t xml:space="preserve">Board Policies Handbook</w:t>
      </w:r>
    </w:p>
    <w:p>
      <w:pPr>
        <w:spacing w:after="400" w:before="0"/>
      </w:pPr>
      <w:r>
        <w:rPr>
          <w:rFonts w:ascii="Arial" w:cs="Arial" w:eastAsia="Arial" w:hAnsi="Arial"/>
          <w:i/>
          <w:iCs/>
          <w:color w:val="555555"/>
          <w:sz w:val="22"/>
          <w:szCs w:val="22"/>
        </w:rPr>
        <w:t xml:space="preserve">Draft for Adoption — April 29, 2026</w:t>
      </w:r>
    </w:p>
    <w:p>
      <w:pPr>
        <w:pStyle w:val="Heading1"/>
        <w:pBdr>
          <w:bottom w:val="single" w:color="2E5C8E" w:sz="8" w:space="6"/>
        </w:pBdr>
        <w:spacing w:after="120" w:before="400"/>
      </w:pPr>
      <w:r>
        <w:rPr>
          <w:rFonts w:ascii="Arial" w:cs="Arial" w:eastAsia="Arial" w:hAnsi="Arial"/>
          <w:b/>
          <w:bCs/>
          <w:color w:val="2E5C8E"/>
          <w:sz w:val="28"/>
          <w:szCs w:val="28"/>
        </w:rPr>
        <w:t xml:space="preserve">1. Board Member Roles and Expectations</w:t>
      </w:r>
    </w:p>
    <w:p>
      <w:pPr>
        <w:pStyle w:val="Heading2"/>
        <w:spacing w:after="80" w:before="280"/>
      </w:pPr>
      <w:r>
        <w:rPr>
          <w:rFonts w:ascii="Arial" w:cs="Arial" w:eastAsia="Arial" w:hAnsi="Arial"/>
          <w:b/>
          <w:bCs/>
          <w:color w:val="1A1A1A"/>
          <w:sz w:val="24"/>
          <w:szCs w:val="24"/>
        </w:rPr>
        <w:t xml:space="preserve">1.1 General Responsibilities</w:t>
      </w:r>
    </w:p>
    <w:p>
      <w:pPr>
        <w:spacing w:after="80" w:before="80"/>
      </w:pPr>
      <w:r>
        <w:rPr>
          <w:rFonts w:ascii="Arial" w:cs="Arial" w:eastAsia="Arial" w:hAnsi="Arial"/>
          <w:color w:val="1A1A1A"/>
          <w:sz w:val="22"/>
          <w:szCs w:val="22"/>
        </w:rPr>
        <w:t xml:space="preserve">All board members are expected to:</w:t>
      </w:r>
    </w:p>
    <w:p>
      <w:pPr>
        <w:pStyle w:val="ListParagraph"/>
        <w:numPr>
          <w:ilvl w:val="0"/>
          <w:numId w:val="2"/>
        </w:numPr>
        <w:spacing w:after="40" w:before="40"/>
      </w:pPr>
      <w:r>
        <w:rPr>
          <w:rFonts w:ascii="Arial" w:cs="Arial" w:eastAsia="Arial" w:hAnsi="Arial"/>
          <w:color w:val="1A1A1A"/>
          <w:sz w:val="22"/>
          <w:szCs w:val="22"/>
        </w:rPr>
        <w:t xml:space="preserve">Attend all regularly scheduled board meetings and provide advance notice when unable to attend</w:t>
      </w:r>
    </w:p>
    <w:p>
      <w:pPr>
        <w:pStyle w:val="ListParagraph"/>
        <w:numPr>
          <w:ilvl w:val="0"/>
          <w:numId w:val="2"/>
        </w:numPr>
        <w:spacing w:after="40" w:before="40"/>
      </w:pPr>
      <w:r>
        <w:rPr>
          <w:rFonts w:ascii="Arial" w:cs="Arial" w:eastAsia="Arial" w:hAnsi="Arial"/>
          <w:color w:val="1A1A1A"/>
          <w:sz w:val="22"/>
          <w:szCs w:val="22"/>
        </w:rPr>
        <w:t xml:space="preserve">Come prepared to meetings by reviewing materials distributed in advance</w:t>
      </w:r>
    </w:p>
    <w:p>
      <w:pPr>
        <w:pStyle w:val="ListParagraph"/>
        <w:numPr>
          <w:ilvl w:val="0"/>
          <w:numId w:val="2"/>
        </w:numPr>
        <w:spacing w:after="40" w:before="40"/>
      </w:pPr>
      <w:r>
        <w:rPr>
          <w:rFonts w:ascii="Arial" w:cs="Arial" w:eastAsia="Arial" w:hAnsi="Arial"/>
          <w:color w:val="1A1A1A"/>
          <w:sz w:val="22"/>
          <w:szCs w:val="22"/>
        </w:rPr>
        <w:t xml:space="preserve">Actively participate in at least one board committee or program area</w:t>
      </w:r>
    </w:p>
    <w:p>
      <w:pPr>
        <w:pStyle w:val="ListParagraph"/>
        <w:numPr>
          <w:ilvl w:val="0"/>
          <w:numId w:val="2"/>
        </w:numPr>
        <w:spacing w:after="40" w:before="40"/>
      </w:pPr>
      <w:r>
        <w:rPr>
          <w:rFonts w:ascii="Arial" w:cs="Arial" w:eastAsia="Arial" w:hAnsi="Arial"/>
          <w:color w:val="1A1A1A"/>
          <w:sz w:val="22"/>
          <w:szCs w:val="22"/>
        </w:rPr>
        <w:t xml:space="preserve">Respond to communications, email votes, and requests for input in a timely manner, generally within five business days</w:t>
      </w:r>
    </w:p>
    <w:p>
      <w:pPr>
        <w:pStyle w:val="ListParagraph"/>
        <w:numPr>
          <w:ilvl w:val="0"/>
          <w:numId w:val="2"/>
        </w:numPr>
        <w:spacing w:after="40" w:before="40"/>
      </w:pPr>
      <w:r>
        <w:rPr>
          <w:rFonts w:ascii="Arial" w:cs="Arial" w:eastAsia="Arial" w:hAnsi="Arial"/>
          <w:color w:val="1A1A1A"/>
          <w:sz w:val="22"/>
          <w:szCs w:val="22"/>
        </w:rPr>
        <w:t xml:space="preserve">Maintain confidentiality of board discussions, deliberations, and sensitive organizational information</w:t>
      </w:r>
    </w:p>
    <w:p>
      <w:pPr>
        <w:pStyle w:val="ListParagraph"/>
        <w:numPr>
          <w:ilvl w:val="0"/>
          <w:numId w:val="2"/>
        </w:numPr>
        <w:spacing w:after="40" w:before="40"/>
      </w:pPr>
      <w:r>
        <w:rPr>
          <w:rFonts w:ascii="Arial" w:cs="Arial" w:eastAsia="Arial" w:hAnsi="Arial"/>
          <w:color w:val="1A1A1A"/>
          <w:sz w:val="22"/>
          <w:szCs w:val="22"/>
        </w:rPr>
        <w:t xml:space="preserve">Act in the best interest of the foundation at all times</w:t>
      </w:r>
    </w:p>
    <w:p>
      <w:pPr>
        <w:pStyle w:val="ListParagraph"/>
        <w:numPr>
          <w:ilvl w:val="0"/>
          <w:numId w:val="2"/>
        </w:numPr>
        <w:spacing w:after="40" w:before="40"/>
      </w:pPr>
      <w:r>
        <w:rPr>
          <w:rFonts w:ascii="Arial" w:cs="Arial" w:eastAsia="Arial" w:hAnsi="Arial"/>
          <w:color w:val="1A1A1A"/>
          <w:sz w:val="22"/>
          <w:szCs w:val="22"/>
        </w:rPr>
        <w:t xml:space="preserve">Disclose any conflicts of interest promptly and in accordance with the Conflict of Interest Policy</w:t>
      </w:r>
    </w:p>
    <w:p>
      <w:pPr>
        <w:pStyle w:val="Heading2"/>
        <w:spacing w:after="80" w:before="280"/>
      </w:pPr>
      <w:r>
        <w:rPr>
          <w:rFonts w:ascii="Arial" w:cs="Arial" w:eastAsia="Arial" w:hAnsi="Arial"/>
          <w:b/>
          <w:bCs/>
          <w:color w:val="1A1A1A"/>
          <w:sz w:val="24"/>
          <w:szCs w:val="24"/>
        </w:rPr>
        <w:t xml:space="preserve">1.2 Committee Participation</w:t>
      </w:r>
    </w:p>
    <w:p>
      <w:pPr>
        <w:spacing w:after="80" w:before="80"/>
      </w:pPr>
      <w:r>
        <w:rPr>
          <w:rFonts w:ascii="Arial" w:cs="Arial" w:eastAsia="Arial" w:hAnsi="Arial"/>
          <w:color w:val="1A1A1A"/>
          <w:sz w:val="22"/>
          <w:szCs w:val="22"/>
        </w:rPr>
        <w:t xml:space="preserve">Each board member is expected to take an active leadership role in at least one of the Foundation's standing program committees or the president-led Communications function. Committee and role assignments will be determined by board action and reviewed annually.</w:t>
      </w:r>
    </w:p>
    <w:p>
      <w:pPr>
        <w:pStyle w:val="Heading2"/>
        <w:spacing w:after="80" w:before="280"/>
      </w:pPr>
      <w:r>
        <w:rPr>
          <w:rFonts w:ascii="Arial" w:cs="Arial" w:eastAsia="Arial" w:hAnsi="Arial"/>
          <w:b/>
          <w:bCs/>
          <w:color w:val="1A1A1A"/>
          <w:sz w:val="24"/>
          <w:szCs w:val="24"/>
        </w:rPr>
        <w:t xml:space="preserve">1.3 Measuring Attendance and Participation</w:t>
      </w:r>
    </w:p>
    <w:p>
      <w:pPr>
        <w:spacing w:after="80" w:before="80"/>
      </w:pPr>
      <w:r>
        <w:rPr>
          <w:rFonts w:ascii="Arial" w:cs="Arial" w:eastAsia="Arial" w:hAnsi="Arial"/>
          <w:color w:val="1A1A1A"/>
          <w:sz w:val="22"/>
          <w:szCs w:val="22"/>
        </w:rPr>
        <w:t xml:space="preserve">The board gauges participation based on five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C8E" w:val="clear"/>
            <w:tcMar>
              <w:top w:type="dxa" w:w="80"/>
              <w:left w:type="dxa" w:w="120"/>
              <w:bottom w:type="dxa" w:w="80"/>
              <w:right w:type="dxa" w:w="120"/>
            </w:tcMar>
          </w:tcPr>
          <w:p>
            <w:r>
              <w:rPr>
                <w:rFonts w:ascii="Arial" w:cs="Arial" w:eastAsia="Arial" w:hAnsi="Arial"/>
                <w:b/>
                <w:bCs/>
                <w:color w:val="D8AB67"/>
                <w:sz w:val="20"/>
                <w:szCs w:val="20"/>
              </w:rPr>
              <w:t xml:space="preserve">Area</w:t>
            </w:r>
          </w:p>
        </w:tc>
        <w:tc>
          <w:tcPr>
            <w:tcW w:type="dxa" w:w="7560"/>
            <w:tcBorders>
              <w:top w:val="single" w:color="CCCCCC" w:sz="1"/>
              <w:left w:val="single" w:color="CCCCCC" w:sz="1"/>
              <w:bottom w:val="single" w:color="CCCCCC" w:sz="1"/>
              <w:right w:val="single" w:color="CCCCCC" w:sz="1"/>
            </w:tcBorders>
            <w:shd w:fill="2E5C8E" w:val="clear"/>
            <w:tcMar>
              <w:top w:type="dxa" w:w="80"/>
              <w:left w:type="dxa" w:w="120"/>
              <w:bottom w:type="dxa" w:w="80"/>
              <w:right w:type="dxa" w:w="120"/>
            </w:tcMar>
          </w:tcPr>
          <w:p>
            <w:r>
              <w:rPr>
                <w:rFonts w:ascii="Arial" w:cs="Arial" w:eastAsia="Arial" w:hAnsi="Arial"/>
                <w:b/>
                <w:bCs/>
                <w:color w:val="D8AB67"/>
                <w:sz w:val="20"/>
                <w:szCs w:val="20"/>
              </w:rPr>
              <w:t xml:space="preserve">What it looks like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F5361"/>
                <w:sz w:val="20"/>
                <w:szCs w:val="20"/>
              </w:rPr>
              <w:t xml:space="preserve">Attendance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Attending board meetings regularly and giving advance notice when unable to attend. Board members are expected to attend at least 75% of meetings in each calendar year.</w:t>
            </w:r>
          </w:p>
        </w:tc>
      </w:tr>
      <w:tr>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F5361"/>
                <w:sz w:val="20"/>
                <w:szCs w:val="20"/>
              </w:rPr>
              <w:t xml:space="preserve">Preparation</w:t>
            </w:r>
          </w:p>
        </w:tc>
        <w:tc>
          <w:tcPr>
            <w:tcW w:type="dxa" w:w="75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color w:val="1A1A1A"/>
                <w:sz w:val="20"/>
                <w:szCs w:val="20"/>
              </w:rPr>
              <w:t xml:space="preserve">Reviewing materials distributed in advance and coming to meetings ready to discuss the issues at hand.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F5361"/>
                <w:sz w:val="20"/>
                <w:szCs w:val="20"/>
              </w:rPr>
              <w:t xml:space="preserve">Engagement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Contributing thoughtfully in meetings and committee work, not just being present.</w:t>
            </w:r>
          </w:p>
        </w:tc>
      </w:tr>
      <w:tr>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b/>
                <w:bCs/>
                <w:color w:val="2F5361"/>
                <w:sz w:val="20"/>
                <w:szCs w:val="20"/>
              </w:rPr>
              <w:t xml:space="preserve">Follow-through</w:t>
            </w:r>
          </w:p>
        </w:tc>
        <w:tc>
          <w:tcPr>
            <w:tcW w:type="dxa" w:w="75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color w:val="1A1A1A"/>
                <w:sz w:val="20"/>
                <w:szCs w:val="20"/>
              </w:rPr>
              <w:t xml:space="preserve">Responding to votes and requests within five business days and completing assigned tasks between meetings.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F5361"/>
                <w:sz w:val="20"/>
                <w:szCs w:val="20"/>
              </w:rPr>
              <w:t xml:space="preserve">Mission support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Actively supporting the Foundation's work through committee participation, relationship-building, outreach, or other board-approved responsibilities.</w:t>
            </w:r>
          </w:p>
        </w:tc>
      </w:tr>
    </w:tbl>
    <w:p>
      <w:pPr>
        <w:spacing w:after="80" w:before="80"/>
      </w:pPr>
      <w:r>
        <w:rPr>
          <w:rFonts w:ascii="Arial" w:cs="Arial" w:eastAsia="Arial" w:hAnsi="Arial"/>
          <w:color w:val="1A1A1A"/>
          <w:sz w:val="22"/>
          <w:szCs w:val="22"/>
        </w:rPr>
        <w:t xml:space="preserve">The board president will conduct a brief check-in with each board member after each quarterly meeting to discuss how things are going and whether any support or adjustments are needed. Once a year, typically at the end of the calendar year, the board president will have a more comprehensive conversation with each member covering their overall participation, satisfaction with their board experience, and goals for the coming year. Any concerns will be addressed privately and constructively before they become a larger issue.</w:t>
      </w:r>
    </w:p>
    <w:p>
      <w:pPr>
        <w:spacing w:after="80" w:before="80"/>
      </w:pPr>
      <w:r>
        <w:rPr>
          <w:rFonts w:ascii="Arial" w:cs="Arial" w:eastAsia="Arial" w:hAnsi="Arial"/>
          <w:color w:val="1A1A1A"/>
          <w:sz w:val="22"/>
          <w:szCs w:val="22"/>
        </w:rPr>
        <w:t xml:space="preserve">Participation tracking — including meeting attendance and written consent responses — will be maintained by the secretary and made available to the board president on request.</w:t>
      </w:r>
    </w:p>
    <w:p>
      <w:pPr>
        <w:pStyle w:val="Heading2"/>
        <w:spacing w:after="80" w:before="280"/>
      </w:pPr>
      <w:r>
        <w:rPr>
          <w:rFonts w:ascii="Arial" w:cs="Arial" w:eastAsia="Arial" w:hAnsi="Arial"/>
          <w:b/>
          <w:bCs/>
          <w:color w:val="1A1A1A"/>
          <w:sz w:val="24"/>
          <w:szCs w:val="24"/>
        </w:rPr>
        <w:t xml:space="preserve">1.4 Communication Expectations</w:t>
      </w:r>
    </w:p>
    <w:p>
      <w:pPr>
        <w:spacing w:after="80" w:before="80"/>
      </w:pPr>
      <w:r>
        <w:rPr>
          <w:rFonts w:ascii="Arial" w:cs="Arial" w:eastAsia="Arial" w:hAnsi="Arial"/>
          <w:color w:val="1A1A1A"/>
          <w:sz w:val="22"/>
          <w:szCs w:val="22"/>
        </w:rPr>
        <w:t xml:space="preserve">Board members should direct questions, concerns, and foundation-related communications to the board president. Foundation business should not be discussed in informal or public settings outside of established board channels without authorization.</w:t>
      </w:r>
    </w:p>
    <w:p>
      <w:pPr>
        <w:spacing w:after="0" w:before="0"/>
      </w:pPr>
      <w:r>
        <w:t xml:space="preserve"/>
      </w:r>
    </w:p>
    <w:p>
      <w:pPr>
        <w:pStyle w:val="Heading1"/>
        <w:pBdr>
          <w:bottom w:val="single" w:color="2E5C8E" w:sz="8" w:space="6"/>
        </w:pBdr>
        <w:spacing w:after="120" w:before="400"/>
      </w:pPr>
      <w:r>
        <w:rPr>
          <w:rFonts w:ascii="Arial" w:cs="Arial" w:eastAsia="Arial" w:hAnsi="Arial"/>
          <w:b/>
          <w:bCs/>
          <w:color w:val="2E5C8E"/>
          <w:sz w:val="28"/>
          <w:szCs w:val="28"/>
        </w:rPr>
        <w:t xml:space="preserve">2. Standing Committees and Working Groups</w:t>
      </w:r>
    </w:p>
    <w:p>
      <w:pPr>
        <w:pStyle w:val="Heading2"/>
        <w:spacing w:after="80" w:before="280"/>
      </w:pPr>
      <w:r>
        <w:rPr>
          <w:rFonts w:ascii="Arial" w:cs="Arial" w:eastAsia="Arial" w:hAnsi="Arial"/>
          <w:b/>
          <w:bCs/>
          <w:color w:val="1A1A1A"/>
          <w:sz w:val="24"/>
          <w:szCs w:val="24"/>
        </w:rPr>
        <w:t xml:space="preserve">2.1 Standing Committees</w:t>
      </w:r>
    </w:p>
    <w:p>
      <w:pPr>
        <w:spacing w:after="80" w:before="80"/>
      </w:pPr>
      <w:r>
        <w:rPr>
          <w:rFonts w:ascii="Arial" w:cs="Arial" w:eastAsia="Arial" w:hAnsi="Arial"/>
          <w:color w:val="1A1A1A"/>
          <w:sz w:val="22"/>
          <w:szCs w:val="22"/>
        </w:rPr>
        <w:t xml:space="preserve">The Foundation has two standing program committees established in the bylaws: the Research Committee and the Community Committee. Each committee is the Foundation's primary structure for one of its two core program areas. Committees are led by a board member designated as committee chair, meet regularly, develop external relationships and programs within their area, and report to the full board at each board meeting.</w:t>
      </w:r>
    </w:p>
    <w:p>
      <w:pPr>
        <w:spacing w:after="80" w:before="80"/>
      </w:pPr>
      <w:r>
        <w:rPr>
          <w:rFonts w:ascii="Arial" w:cs="Arial" w:eastAsia="Arial" w:hAnsi="Arial"/>
          <w:color w:val="1A1A1A"/>
          <w:sz w:val="22"/>
          <w:szCs w:val="22"/>
        </w:rPr>
        <w:t xml:space="preserve">Beneath any standing committee, the chair may organize working groups to carry out specific tasks or projects. Working groups may include non-board members such as volunteers, advisors, or community supporters. Working groups operate under the direction of the committee chair and report through the committee to the full board.</w:t>
      </w:r>
    </w:p>
    <w:p>
      <w:pPr>
        <w:spacing w:after="80" w:before="80"/>
      </w:pPr>
      <w:r>
        <w:rPr>
          <w:rFonts w:ascii="Arial" w:cs="Arial" w:eastAsia="Arial" w:hAnsi="Arial"/>
          <w:color w:val="1A1A1A"/>
          <w:sz w:val="22"/>
          <w:szCs w:val="22"/>
        </w:rPr>
        <w:t xml:space="preserve">The Foundation also maintains two governance committees established in the bylaws: the Finance Committee, chaired by the treasurer, and the Nominating and Governance Committee. These serve board governance functions and are distinct from the standing program committees.</w:t>
      </w:r>
    </w:p>
    <w:p>
      <w:pPr>
        <w:pStyle w:val="Heading2"/>
        <w:spacing w:after="80" w:before="280"/>
      </w:pPr>
      <w:r>
        <w:rPr>
          <w:rFonts w:ascii="Arial" w:cs="Arial" w:eastAsia="Arial" w:hAnsi="Arial"/>
          <w:b/>
          <w:bCs/>
          <w:color w:val="1A1A1A"/>
          <w:sz w:val="24"/>
          <w:szCs w:val="24"/>
        </w:rPr>
        <w:t xml:space="preserve">2.2 Committee Leadership</w:t>
      </w:r>
    </w:p>
    <w:p>
      <w:pPr>
        <w:spacing w:after="80" w:before="80"/>
      </w:pPr>
      <w:r>
        <w:rPr>
          <w:rFonts w:ascii="Arial" w:cs="Arial" w:eastAsia="Arial" w:hAnsi="Arial"/>
          <w:color w:val="1A1A1A"/>
          <w:sz w:val="22"/>
          <w:szCs w:val="22"/>
        </w:rPr>
        <w:t xml:space="preserve">Each standing committee is led by a board member designated as committee chair by the board. Committee chairs are responsible for coordinating committee activity, organizing and overseeing any working groups beneath them, maintaining a log of external contacts and action items in the board portal, and reporting to the full board at each board meeting.</w:t>
      </w:r>
    </w:p>
    <w:p>
      <w:pPr>
        <w:spacing w:after="0" w:before="0"/>
      </w:pPr>
      <w:r>
        <w:t xml:space="preserve"/>
      </w:r>
    </w:p>
    <w:p>
      <w:pPr>
        <w:pStyle w:val="Heading1"/>
        <w:pBdr>
          <w:bottom w:val="single" w:color="2E5C8E" w:sz="8" w:space="6"/>
        </w:pBdr>
        <w:spacing w:after="120" w:before="400"/>
      </w:pPr>
      <w:r>
        <w:rPr>
          <w:rFonts w:ascii="Arial" w:cs="Arial" w:eastAsia="Arial" w:hAnsi="Arial"/>
          <w:b/>
          <w:bCs/>
          <w:color w:val="2E5C8E"/>
          <w:sz w:val="28"/>
          <w:szCs w:val="28"/>
        </w:rPr>
        <w:t xml:space="preserve">3. Committee Authority and Approval Process</w:t>
      </w:r>
    </w:p>
    <w:p>
      <w:pPr>
        <w:pStyle w:val="Heading2"/>
        <w:spacing w:after="80" w:before="280"/>
      </w:pPr>
      <w:r>
        <w:rPr>
          <w:rFonts w:ascii="Arial" w:cs="Arial" w:eastAsia="Arial" w:hAnsi="Arial"/>
          <w:b/>
          <w:bCs/>
          <w:color w:val="1A1A1A"/>
          <w:sz w:val="24"/>
          <w:szCs w:val="24"/>
        </w:rPr>
        <w:t xml:space="preserve">3.1 Committee-Level Authority</w:t>
      </w:r>
    </w:p>
    <w:p>
      <w:pPr>
        <w:spacing w:after="80" w:before="80"/>
      </w:pPr>
      <w:r>
        <w:rPr>
          <w:rFonts w:ascii="Arial" w:cs="Arial" w:eastAsia="Arial" w:hAnsi="Arial"/>
          <w:color w:val="1A1A1A"/>
          <w:sz w:val="22"/>
          <w:szCs w:val="22"/>
        </w:rPr>
        <w:t xml:space="preserve">Committees may gather information, respond to inquiries, attend informational meetings, and conduct exploratory conversations within their program area without prior board approval. Implementing any initiative, program, or commitment requires board approval as described in Section 2.4.</w:t>
      </w:r>
    </w:p>
    <w:p>
      <w:pPr>
        <w:pStyle w:val="Heading2"/>
        <w:spacing w:after="80" w:before="280"/>
      </w:pPr>
      <w:r>
        <w:rPr>
          <w:rFonts w:ascii="Arial" w:cs="Arial" w:eastAsia="Arial" w:hAnsi="Arial"/>
          <w:b/>
          <w:bCs/>
          <w:color w:val="1A1A1A"/>
          <w:sz w:val="24"/>
          <w:szCs w:val="24"/>
        </w:rPr>
        <w:t xml:space="preserve">3.2 Board Approval Required</w:t>
      </w:r>
    </w:p>
    <w:p>
      <w:pPr>
        <w:spacing w:after="80" w:before="80"/>
      </w:pPr>
      <w:r>
        <w:rPr>
          <w:rFonts w:ascii="Arial" w:cs="Arial" w:eastAsia="Arial" w:hAnsi="Arial"/>
          <w:color w:val="1A1A1A"/>
          <w:sz w:val="22"/>
          <w:szCs w:val="22"/>
        </w:rPr>
        <w:t xml:space="preserve">Any new commitment, partnership, program, initiative, or public endorsement that involves any of the following must be brought to the full board for approval before the foundation proceeds:</w:t>
      </w:r>
    </w:p>
    <w:p>
      <w:pPr>
        <w:pStyle w:val="ListParagraph"/>
        <w:numPr>
          <w:ilvl w:val="0"/>
          <w:numId w:val="2"/>
        </w:numPr>
        <w:spacing w:after="40" w:before="40"/>
      </w:pPr>
      <w:r>
        <w:rPr>
          <w:rFonts w:ascii="Arial" w:cs="Arial" w:eastAsia="Arial" w:hAnsi="Arial"/>
          <w:color w:val="1A1A1A"/>
          <w:sz w:val="22"/>
          <w:szCs w:val="22"/>
        </w:rPr>
        <w:t xml:space="preserve">Use of foundation resources, funds, or staff time</w:t>
      </w:r>
    </w:p>
    <w:p>
      <w:pPr>
        <w:pStyle w:val="ListParagraph"/>
        <w:numPr>
          <w:ilvl w:val="0"/>
          <w:numId w:val="2"/>
        </w:numPr>
        <w:spacing w:after="40" w:before="40"/>
      </w:pPr>
      <w:r>
        <w:rPr>
          <w:rFonts w:ascii="Arial" w:cs="Arial" w:eastAsia="Arial" w:hAnsi="Arial"/>
          <w:color w:val="1A1A1A"/>
          <w:sz w:val="22"/>
          <w:szCs w:val="22"/>
        </w:rPr>
        <w:t xml:space="preserve">Public representation of the foundation's position or support</w:t>
      </w:r>
    </w:p>
    <w:p>
      <w:pPr>
        <w:pStyle w:val="ListParagraph"/>
        <w:numPr>
          <w:ilvl w:val="0"/>
          <w:numId w:val="2"/>
        </w:numPr>
        <w:spacing w:after="40" w:before="40"/>
      </w:pPr>
      <w:r>
        <w:rPr>
          <w:rFonts w:ascii="Arial" w:cs="Arial" w:eastAsia="Arial" w:hAnsi="Arial"/>
          <w:color w:val="1A1A1A"/>
          <w:sz w:val="22"/>
          <w:szCs w:val="22"/>
        </w:rPr>
        <w:t xml:space="preserve">Promotion or advertisement of a research study, program, or external initiative to foundation constituents</w:t>
      </w:r>
    </w:p>
    <w:p>
      <w:pPr>
        <w:pStyle w:val="ListParagraph"/>
        <w:numPr>
          <w:ilvl w:val="0"/>
          <w:numId w:val="2"/>
        </w:numPr>
        <w:spacing w:after="40" w:before="40"/>
      </w:pPr>
      <w:r>
        <w:rPr>
          <w:rFonts w:ascii="Arial" w:cs="Arial" w:eastAsia="Arial" w:hAnsi="Arial"/>
          <w:color w:val="1A1A1A"/>
          <w:sz w:val="22"/>
          <w:szCs w:val="22"/>
        </w:rPr>
        <w:t xml:space="preserve">Entry into a formal agreement, memorandum of understanding, or collaboration with any external organization</w:t>
      </w:r>
    </w:p>
    <w:p>
      <w:pPr>
        <w:pStyle w:val="ListParagraph"/>
        <w:numPr>
          <w:ilvl w:val="0"/>
          <w:numId w:val="2"/>
        </w:numPr>
        <w:spacing w:after="40" w:before="40"/>
      </w:pPr>
      <w:r>
        <w:rPr>
          <w:rFonts w:ascii="Arial" w:cs="Arial" w:eastAsia="Arial" w:hAnsi="Arial"/>
          <w:color w:val="1A1A1A"/>
          <w:sz w:val="22"/>
          <w:szCs w:val="22"/>
        </w:rPr>
        <w:t xml:space="preserve">Any action that creates a legal or financial obligation for the foundation</w:t>
      </w:r>
    </w:p>
    <w:p>
      <w:pPr>
        <w:pStyle w:val="Heading2"/>
        <w:spacing w:after="80" w:before="280"/>
      </w:pPr>
      <w:r>
        <w:rPr>
          <w:rFonts w:ascii="Arial" w:cs="Arial" w:eastAsia="Arial" w:hAnsi="Arial"/>
          <w:b/>
          <w:bCs/>
          <w:color w:val="1A1A1A"/>
          <w:sz w:val="24"/>
          <w:szCs w:val="24"/>
        </w:rPr>
        <w:t xml:space="preserve">3.3 Approval Process</w:t>
      </w:r>
    </w:p>
    <w:p>
      <w:pPr>
        <w:spacing w:after="80" w:before="80"/>
      </w:pPr>
      <w:r>
        <w:rPr>
          <w:rFonts w:ascii="Arial" w:cs="Arial" w:eastAsia="Arial" w:hAnsi="Arial"/>
          <w:color w:val="1A1A1A"/>
          <w:sz w:val="22"/>
          <w:szCs w:val="22"/>
        </w:rPr>
        <w:t xml:space="preserve">Board approval may occur at a formal board meeting or via written consent as described in Section 5. The committee chair presents the proposal, the board discusses, and a vote is taken. All approvals are documented with the date, nature of the approval, and the names of board members who voted.</w:t>
      </w:r>
    </w:p>
    <w:p>
      <w:pPr>
        <w:pStyle w:val="Heading2"/>
        <w:spacing w:after="80" w:before="280"/>
      </w:pPr>
      <w:r>
        <w:rPr>
          <w:rFonts w:ascii="Arial" w:cs="Arial" w:eastAsia="Arial" w:hAnsi="Arial"/>
          <w:b/>
          <w:bCs/>
          <w:color w:val="1A1A1A"/>
          <w:sz w:val="24"/>
          <w:szCs w:val="24"/>
        </w:rPr>
        <w:t xml:space="preserve">3.4 Day-to-Day Committee Execution</w:t>
      </w:r>
    </w:p>
    <w:p>
      <w:pPr>
        <w:spacing w:after="80" w:before="80"/>
      </w:pPr>
      <w:r>
        <w:rPr>
          <w:rFonts w:ascii="Arial" w:cs="Arial" w:eastAsia="Arial" w:hAnsi="Arial"/>
          <w:color w:val="1A1A1A"/>
          <w:sz w:val="22"/>
          <w:szCs w:val="22"/>
        </w:rPr>
        <w:t xml:space="preserve">Committees and working groups report to the full board for all significant decisions. Within board-approved programs, they may manage day-to-day execution without requiring board approval for each discrete action, provided all activity remains consistent with board-approved priorities and no binding commitments are made. Any major new initiative, shift in direction, or launch of a new channel or program requires board approval.</w:t>
      </w:r>
    </w:p>
    <w:p>
      <w:pPr>
        <w:spacing w:after="0" w:before="0"/>
      </w:pPr>
      <w:r>
        <w:t xml:space="preserve"/>
      </w:r>
    </w:p>
    <w:p>
      <w:pPr>
        <w:pStyle w:val="Heading1"/>
        <w:pBdr>
          <w:bottom w:val="single" w:color="2E5C8E" w:sz="8" w:space="6"/>
        </w:pBdr>
        <w:spacing w:after="120" w:before="400"/>
      </w:pPr>
      <w:r>
        <w:rPr>
          <w:rFonts w:ascii="Arial" w:cs="Arial" w:eastAsia="Arial" w:hAnsi="Arial"/>
          <w:b/>
          <w:bCs/>
          <w:color w:val="2E5C8E"/>
          <w:sz w:val="28"/>
          <w:szCs w:val="28"/>
        </w:rPr>
        <w:t xml:space="preserve">4. Decision-Making and Voting Procedures</w:t>
      </w:r>
    </w:p>
    <w:p>
      <w:pPr>
        <w:pStyle w:val="Heading2"/>
        <w:spacing w:after="80" w:before="280"/>
      </w:pPr>
      <w:r>
        <w:rPr>
          <w:rFonts w:ascii="Arial" w:cs="Arial" w:eastAsia="Arial" w:hAnsi="Arial"/>
          <w:b/>
          <w:bCs/>
          <w:color w:val="1A1A1A"/>
          <w:sz w:val="24"/>
          <w:szCs w:val="24"/>
        </w:rPr>
        <w:t xml:space="preserve">4.1 Standard Voting</w:t>
      </w:r>
    </w:p>
    <w:p>
      <w:pPr>
        <w:spacing w:after="80" w:before="80"/>
      </w:pPr>
      <w:r>
        <w:rPr>
          <w:rFonts w:ascii="Arial" w:cs="Arial" w:eastAsia="Arial" w:hAnsi="Arial"/>
          <w:color w:val="1A1A1A"/>
          <w:sz w:val="22"/>
          <w:szCs w:val="22"/>
        </w:rPr>
        <w:t xml:space="preserve">The board makes decisions by majority vote. Votes may occur at a formal board meeting or via written consent. A quorum, as defined in the bylaws, must be present or participating for a vote to be valid.</w:t>
      </w:r>
    </w:p>
    <w:p>
      <w:pPr>
        <w:pStyle w:val="Heading2"/>
        <w:spacing w:after="80" w:before="280"/>
      </w:pPr>
      <w:r>
        <w:rPr>
          <w:rFonts w:ascii="Arial" w:cs="Arial" w:eastAsia="Arial" w:hAnsi="Arial"/>
          <w:b/>
          <w:bCs/>
          <w:color w:val="1A1A1A"/>
          <w:sz w:val="24"/>
          <w:szCs w:val="24"/>
        </w:rPr>
        <w:t xml:space="preserve">4.2 Conducting a Vote</w:t>
      </w:r>
    </w:p>
    <w:p>
      <w:pPr>
        <w:spacing w:after="80" w:before="80"/>
      </w:pPr>
      <w:r>
        <w:rPr>
          <w:rFonts w:ascii="Arial" w:cs="Arial" w:eastAsia="Arial" w:hAnsi="Arial"/>
          <w:color w:val="1A1A1A"/>
          <w:sz w:val="22"/>
          <w:szCs w:val="22"/>
        </w:rPr>
        <w:t xml:space="preserve">The board chair facilitates discussion prior to any vote to ensure all perspectives are heard. Votes shall be recorded without commentary to maintain collegiality and respect for differing viewpoints. The outcome of each vote, including any dissenting votes, is documented in the meeting minutes or written consent record.</w:t>
      </w:r>
    </w:p>
    <w:p>
      <w:pPr>
        <w:pStyle w:val="Heading2"/>
        <w:spacing w:after="80" w:before="280"/>
      </w:pPr>
      <w:r>
        <w:rPr>
          <w:rFonts w:ascii="Arial" w:cs="Arial" w:eastAsia="Arial" w:hAnsi="Arial"/>
          <w:b/>
          <w:bCs/>
          <w:color w:val="1A1A1A"/>
          <w:sz w:val="24"/>
          <w:szCs w:val="24"/>
        </w:rPr>
        <w:t xml:space="preserve">4.3 Written Consent Voting</w:t>
      </w:r>
    </w:p>
    <w:p>
      <w:pPr>
        <w:spacing w:after="80" w:before="80"/>
      </w:pPr>
      <w:r>
        <w:rPr>
          <w:rFonts w:ascii="Arial" w:cs="Arial" w:eastAsia="Arial" w:hAnsi="Arial"/>
          <w:color w:val="1A1A1A"/>
          <w:sz w:val="22"/>
          <w:szCs w:val="22"/>
        </w:rPr>
        <w:t xml:space="preserve">When a decision is time-sensitive or does not warrant convening a full board meeting, the board may act by written consent via email or a shared document in the board portal. For a written consent vote to be valid, all board members must have the opportunity to review and respond, and a majority of seated directors must approve — not just a majority of those who respond. All written consent votes are documented with the date, the item voted on, and each member's response.</w:t>
      </w:r>
    </w:p>
    <w:p>
      <w:pPr>
        <w:pStyle w:val="Heading2"/>
        <w:spacing w:after="80" w:before="280"/>
      </w:pPr>
      <w:r>
        <w:rPr>
          <w:rFonts w:ascii="Arial" w:cs="Arial" w:eastAsia="Arial" w:hAnsi="Arial"/>
          <w:b/>
          <w:bCs/>
          <w:color w:val="1A1A1A"/>
          <w:sz w:val="24"/>
          <w:szCs w:val="24"/>
        </w:rPr>
        <w:t xml:space="preserve">4.4 Tabling a Decision</w:t>
      </w:r>
    </w:p>
    <w:p>
      <w:pPr>
        <w:spacing w:after="80" w:before="80"/>
      </w:pPr>
      <w:r>
        <w:rPr>
          <w:rFonts w:ascii="Arial" w:cs="Arial" w:eastAsia="Arial" w:hAnsi="Arial"/>
          <w:color w:val="1A1A1A"/>
          <w:sz w:val="22"/>
          <w:szCs w:val="22"/>
        </w:rPr>
        <w:t xml:space="preserve">Any board member may request that a decision be tabled for further consideration. The board chair may grant a tabling request when additional time for discussion, information gathering, or deliberation would meaningfully improve the decision. When a decision is tabled, the board chair will establish a timeline for revisiting the item. Tabling a decision does not constitute a vote against it.</w:t>
      </w:r>
    </w:p>
    <w:p>
      <w:pPr>
        <w:pStyle w:val="Heading2"/>
        <w:spacing w:after="80" w:before="280"/>
      </w:pPr>
      <w:r>
        <w:rPr>
          <w:rFonts w:ascii="Arial" w:cs="Arial" w:eastAsia="Arial" w:hAnsi="Arial"/>
          <w:b/>
          <w:bCs/>
          <w:color w:val="1A1A1A"/>
          <w:sz w:val="24"/>
          <w:szCs w:val="24"/>
        </w:rPr>
        <w:t xml:space="preserve">4.5 Resolving Disagreement</w:t>
      </w:r>
    </w:p>
    <w:p>
      <w:pPr>
        <w:spacing w:after="80" w:before="80"/>
      </w:pPr>
      <w:r>
        <w:rPr>
          <w:rFonts w:ascii="Arial" w:cs="Arial" w:eastAsia="Arial" w:hAnsi="Arial"/>
          <w:color w:val="1A1A1A"/>
          <w:sz w:val="22"/>
          <w:szCs w:val="22"/>
        </w:rPr>
        <w:t xml:space="preserve">Disagreement is a normal and healthy part of board governance. The board chair is responsible for creating space for all perspectives to be heard before a vote is called. Board members are encouraged to raise concerns openly during discussion rather than after a decision is made.</w:t>
      </w:r>
    </w:p>
    <w:p>
      <w:pPr>
        <w:spacing w:after="80" w:before="80"/>
      </w:pPr>
      <w:r>
        <w:rPr>
          <w:rFonts w:ascii="Arial" w:cs="Arial" w:eastAsia="Arial" w:hAnsi="Arial"/>
          <w:color w:val="1A1A1A"/>
          <w:sz w:val="22"/>
          <w:szCs w:val="22"/>
        </w:rPr>
        <w:t xml:space="preserve">When a vote is taken, the outcome is recorded without commentary. Board members are not expected to explain or defend their vote, and others are not expected to respond to it. Once a decision is made by majority vote, all board members are expected to support it going forward, regardless of how they voted.</w:t>
      </w:r>
    </w:p>
    <w:p>
      <w:pPr>
        <w:spacing w:after="80" w:before="80"/>
      </w:pPr>
      <w:r>
        <w:rPr>
          <w:rFonts w:ascii="Arial" w:cs="Arial" w:eastAsia="Arial" w:hAnsi="Arial"/>
          <w:color w:val="1A1A1A"/>
          <w:sz w:val="22"/>
          <w:szCs w:val="22"/>
        </w:rPr>
        <w:t xml:space="preserve">If a board member feels strongly that a decision warrants reconsideration, the appropriate path is to raise it at a subsequent meeting with new information or a clear rationale — not to relitigate it informally outside of board channels.</w:t>
      </w:r>
    </w:p>
    <w:p>
      <w:pPr>
        <w:pStyle w:val="Heading2"/>
        <w:spacing w:after="80" w:before="280"/>
      </w:pPr>
      <w:r>
        <w:rPr>
          <w:rFonts w:ascii="Arial" w:cs="Arial" w:eastAsia="Arial" w:hAnsi="Arial"/>
          <w:b/>
          <w:bCs/>
          <w:color w:val="1A1A1A"/>
          <w:sz w:val="24"/>
          <w:szCs w:val="24"/>
        </w:rPr>
        <w:t xml:space="preserve">4.6 Revisiting Decisions</w:t>
      </w:r>
    </w:p>
    <w:p>
      <w:pPr>
        <w:spacing w:after="80" w:before="80"/>
      </w:pPr>
      <w:r>
        <w:rPr>
          <w:rFonts w:ascii="Arial" w:cs="Arial" w:eastAsia="Arial" w:hAnsi="Arial"/>
          <w:color w:val="1A1A1A"/>
          <w:sz w:val="22"/>
          <w:szCs w:val="22"/>
        </w:rPr>
        <w:t xml:space="preserve">The board may revisit and revise any prior decision by majority vote. Board members are encouraged to raise concerns or flag new information that may warrant reconsideration of a past decision.</w:t>
      </w:r>
    </w:p>
    <w:p>
      <w:pPr>
        <w:spacing w:after="0" w:before="0"/>
      </w:pPr>
      <w:r>
        <w:t xml:space="preserve"/>
      </w:r>
    </w:p>
    <w:p>
      <w:pPr>
        <w:pStyle w:val="Heading1"/>
        <w:pBdr>
          <w:bottom w:val="single" w:color="2E5C8E" w:sz="8" w:space="6"/>
        </w:pBdr>
        <w:spacing w:after="120" w:before="400"/>
      </w:pPr>
      <w:r>
        <w:rPr>
          <w:rFonts w:ascii="Arial" w:cs="Arial" w:eastAsia="Arial" w:hAnsi="Arial"/>
          <w:b/>
          <w:bCs/>
          <w:color w:val="2E5C8E"/>
          <w:sz w:val="28"/>
          <w:szCs w:val="28"/>
        </w:rPr>
        <w:t xml:space="preserve">5. Meeting Procedures and Quorum</w:t>
      </w:r>
    </w:p>
    <w:p>
      <w:pPr>
        <w:pStyle w:val="Heading2"/>
        <w:spacing w:after="80" w:before="280"/>
      </w:pPr>
      <w:r>
        <w:rPr>
          <w:rFonts w:ascii="Arial" w:cs="Arial" w:eastAsia="Arial" w:hAnsi="Arial"/>
          <w:b/>
          <w:bCs/>
          <w:color w:val="1A1A1A"/>
          <w:sz w:val="24"/>
          <w:szCs w:val="24"/>
        </w:rPr>
        <w:t xml:space="preserve">5.1 Scheduling and Notice</w:t>
      </w:r>
    </w:p>
    <w:p>
      <w:pPr>
        <w:spacing w:after="80" w:before="80"/>
      </w:pPr>
      <w:r>
        <w:rPr>
          <w:rFonts w:ascii="Arial" w:cs="Arial" w:eastAsia="Arial" w:hAnsi="Arial"/>
          <w:color w:val="1A1A1A"/>
          <w:sz w:val="22"/>
          <w:szCs w:val="22"/>
        </w:rPr>
        <w:t xml:space="preserve">Board meetings will be held as specified in the bylaws. Board members shall receive written notice of each meeting at least fourteen days in advance. A final agenda and any materials to be discussed shall be distributed at least seven days before the meeting.</w:t>
      </w:r>
    </w:p>
    <w:p>
      <w:pPr>
        <w:pStyle w:val="Heading2"/>
        <w:spacing w:after="80" w:before="280"/>
      </w:pPr>
      <w:r>
        <w:rPr>
          <w:rFonts w:ascii="Arial" w:cs="Arial" w:eastAsia="Arial" w:hAnsi="Arial"/>
          <w:b/>
          <w:bCs/>
          <w:color w:val="1A1A1A"/>
          <w:sz w:val="24"/>
          <w:szCs w:val="24"/>
        </w:rPr>
        <w:t xml:space="preserve">5.2 Quorum</w:t>
      </w:r>
    </w:p>
    <w:p>
      <w:pPr>
        <w:spacing w:after="80" w:before="80"/>
      </w:pPr>
      <w:r>
        <w:rPr>
          <w:rFonts w:ascii="Arial" w:cs="Arial" w:eastAsia="Arial" w:hAnsi="Arial"/>
          <w:color w:val="1A1A1A"/>
          <w:sz w:val="22"/>
          <w:szCs w:val="22"/>
        </w:rPr>
        <w:t xml:space="preserve">A quorum is defined in the bylaws and is required to conduct official business and take binding votes. If a quorum is not present, the meeting may proceed informally for discussion purposes, but no binding decisions may be made.</w:t>
      </w:r>
    </w:p>
    <w:p>
      <w:pPr>
        <w:pStyle w:val="Heading2"/>
        <w:spacing w:after="80" w:before="280"/>
      </w:pPr>
      <w:r>
        <w:rPr>
          <w:rFonts w:ascii="Arial" w:cs="Arial" w:eastAsia="Arial" w:hAnsi="Arial"/>
          <w:b/>
          <w:bCs/>
          <w:color w:val="1A1A1A"/>
          <w:sz w:val="24"/>
          <w:szCs w:val="24"/>
        </w:rPr>
        <w:t xml:space="preserve">5.3 Meeting Minutes</w:t>
      </w:r>
    </w:p>
    <w:p>
      <w:pPr>
        <w:spacing w:after="80" w:before="80"/>
      </w:pPr>
      <w:r>
        <w:rPr>
          <w:rFonts w:ascii="Arial" w:cs="Arial" w:eastAsia="Arial" w:hAnsi="Arial"/>
          <w:color w:val="1A1A1A"/>
          <w:sz w:val="22"/>
          <w:szCs w:val="22"/>
        </w:rPr>
        <w:t xml:space="preserve">The secretary shall prepare draft minutes and distribute them to board members at least seven days before the subsequent meeting for review and approval. Minutes shall include the date, attendees, topics discussed, actions taken, conflicts of interest disclosed, and all votes with results recorded.</w:t>
      </w:r>
    </w:p>
    <w:p>
      <w:pPr>
        <w:spacing w:after="0" w:before="0"/>
      </w:pPr>
      <w:r>
        <w:t xml:space="preserve"/>
      </w:r>
    </w:p>
    <w:p>
      <w:pPr>
        <w:pStyle w:val="Heading1"/>
        <w:pBdr>
          <w:bottom w:val="single" w:color="2E5C8E" w:sz="8" w:space="6"/>
        </w:pBdr>
        <w:spacing w:after="120" w:before="400"/>
      </w:pPr>
      <w:r>
        <w:rPr>
          <w:rFonts w:ascii="Arial" w:cs="Arial" w:eastAsia="Arial" w:hAnsi="Arial"/>
          <w:b/>
          <w:bCs/>
          <w:color w:val="2E5C8E"/>
          <w:sz w:val="28"/>
          <w:szCs w:val="28"/>
        </w:rPr>
        <w:t xml:space="preserve">6. Fundraising and Development</w:t>
      </w:r>
    </w:p>
    <w:p>
      <w:pPr>
        <w:pStyle w:val="Heading2"/>
        <w:spacing w:after="80" w:before="280"/>
      </w:pPr>
      <w:r>
        <w:rPr>
          <w:rFonts w:ascii="Arial" w:cs="Arial" w:eastAsia="Arial" w:hAnsi="Arial"/>
          <w:b/>
          <w:bCs/>
          <w:color w:val="1A1A1A"/>
          <w:sz w:val="24"/>
          <w:szCs w:val="24"/>
        </w:rPr>
        <w:t xml:space="preserve">6.1 Shared Board Responsibility</w:t>
      </w:r>
    </w:p>
    <w:p>
      <w:pPr>
        <w:spacing w:after="80" w:before="80"/>
      </w:pPr>
      <w:r>
        <w:rPr>
          <w:rFonts w:ascii="Arial" w:cs="Arial" w:eastAsia="Arial" w:hAnsi="Arial"/>
          <w:color w:val="1A1A1A"/>
          <w:sz w:val="22"/>
          <w:szCs w:val="22"/>
        </w:rPr>
        <w:t xml:space="preserve">Fundraising is a shared responsibility of the full board. All board members are expected to support the Foundation's fundraising efforts by participating in board-approved campaigns, helping identify prospective donors and partners, and making a personal financial contribution at a level meaningful to them. No individual board member may make commitments to donors, grant funders, or sponsors without board authorization.</w:t>
      </w:r>
    </w:p>
    <w:p>
      <w:pPr>
        <w:pStyle w:val="Heading2"/>
        <w:spacing w:after="80" w:before="280"/>
      </w:pPr>
      <w:r>
        <w:rPr>
          <w:rFonts w:ascii="Arial" w:cs="Arial" w:eastAsia="Arial" w:hAnsi="Arial"/>
          <w:b/>
          <w:bCs/>
          <w:color w:val="1A1A1A"/>
          <w:sz w:val="24"/>
          <w:szCs w:val="24"/>
        </w:rPr>
        <w:t xml:space="preserve">6.2 President's Coordination Role</w:t>
      </w:r>
    </w:p>
    <w:p>
      <w:pPr>
        <w:spacing w:after="80" w:before="80"/>
      </w:pPr>
      <w:r>
        <w:rPr>
          <w:rFonts w:ascii="Arial" w:cs="Arial" w:eastAsia="Arial" w:hAnsi="Arial"/>
          <w:color w:val="1A1A1A"/>
          <w:sz w:val="22"/>
          <w:szCs w:val="22"/>
        </w:rPr>
        <w:t xml:space="preserve">The board president coordinates the Foundation's fundraising efforts in the absence of paid development staff. This includes identifying grant opportunities, cultivating relationships with prospective donors and funders, and presenting an annual fundraising plan to the board for approval. The president does not execute fundraising alone — board members participate actively in carrying out the approved plan.</w:t>
      </w:r>
    </w:p>
    <w:p>
      <w:pPr>
        <w:pStyle w:val="Heading2"/>
        <w:spacing w:after="80" w:before="280"/>
      </w:pPr>
      <w:r>
        <w:rPr>
          <w:rFonts w:ascii="Arial" w:cs="Arial" w:eastAsia="Arial" w:hAnsi="Arial"/>
          <w:b/>
          <w:bCs/>
          <w:color w:val="1A1A1A"/>
          <w:sz w:val="24"/>
          <w:szCs w:val="24"/>
        </w:rPr>
        <w:t xml:space="preserve">6.3 Grant Applications</w:t>
      </w:r>
    </w:p>
    <w:p>
      <w:pPr>
        <w:spacing w:after="80" w:before="80"/>
      </w:pPr>
      <w:r>
        <w:rPr>
          <w:rFonts w:ascii="Arial" w:cs="Arial" w:eastAsia="Arial" w:hAnsi="Arial"/>
          <w:color w:val="1A1A1A"/>
          <w:sz w:val="22"/>
          <w:szCs w:val="22"/>
        </w:rPr>
        <w:t xml:space="preserve">All grant applications must be reviewed and approved by the full board before submission. The board shall confirm that the grant is consistent with the Foundation's mission, that the Foundation has the capacity to fulfill any obligations the grant creates, and that any reporting requirements are understood and manageable. No grant application may be submitted on behalf of the Foundation without prior board approval.</w:t>
      </w:r>
    </w:p>
    <w:p>
      <w:pPr>
        <w:pStyle w:val="Heading2"/>
        <w:spacing w:after="80" w:before="280"/>
      </w:pPr>
      <w:r>
        <w:rPr>
          <w:rFonts w:ascii="Arial" w:cs="Arial" w:eastAsia="Arial" w:hAnsi="Arial"/>
          <w:b/>
          <w:bCs/>
          <w:color w:val="1A1A1A"/>
          <w:sz w:val="24"/>
          <w:szCs w:val="24"/>
        </w:rPr>
        <w:t xml:space="preserve">6.4 Fundraising Campaigns</w:t>
      </w:r>
    </w:p>
    <w:p>
      <w:pPr>
        <w:spacing w:after="80" w:before="80"/>
      </w:pPr>
      <w:r>
        <w:rPr>
          <w:rFonts w:ascii="Arial" w:cs="Arial" w:eastAsia="Arial" w:hAnsi="Arial"/>
          <w:color w:val="1A1A1A"/>
          <w:sz w:val="22"/>
          <w:szCs w:val="22"/>
        </w:rPr>
        <w:t xml:space="preserve">All fundraising campaigns — including annual campaigns, event-based fundraising, and online campaigns — require board approval before launch. The board shall review the campaign goal, timeline, messaging, and any donor commitments before the campaign goes live.</w:t>
      </w:r>
    </w:p>
    <w:p>
      <w:pPr>
        <w:pStyle w:val="Heading2"/>
        <w:spacing w:after="80" w:before="280"/>
      </w:pPr>
      <w:r>
        <w:rPr>
          <w:rFonts w:ascii="Arial" w:cs="Arial" w:eastAsia="Arial" w:hAnsi="Arial"/>
          <w:b/>
          <w:bCs/>
          <w:color w:val="1A1A1A"/>
          <w:sz w:val="24"/>
          <w:szCs w:val="24"/>
        </w:rPr>
        <w:t xml:space="preserve">6.5 Future Development Structure</w:t>
      </w:r>
    </w:p>
    <w:p>
      <w:pPr>
        <w:spacing w:after="80" w:before="80"/>
      </w:pPr>
      <w:r>
        <w:rPr>
          <w:rFonts w:ascii="Arial" w:cs="Arial" w:eastAsia="Arial" w:hAnsi="Arial"/>
          <w:color w:val="1A1A1A"/>
          <w:sz w:val="22"/>
          <w:szCs w:val="22"/>
        </w:rPr>
        <w:t xml:space="preserve">As the Foundation grows, the board may establish a Development Committee or working group to coordinate fundraising efforts. Until that time, fundraising is coordinated by the president with full board participation.</w:t>
      </w:r>
    </w:p>
    <w:p>
      <w:pPr>
        <w:pStyle w:val="Heading1"/>
        <w:pBdr>
          <w:bottom w:val="single" w:color="2E5C8E" w:sz="8" w:space="6"/>
        </w:pBdr>
        <w:spacing w:after="120" w:before="400"/>
      </w:pPr>
      <w:r>
        <w:rPr>
          <w:rFonts w:ascii="Arial" w:cs="Arial" w:eastAsia="Arial" w:hAnsi="Arial"/>
          <w:b/>
          <w:bCs/>
          <w:color w:val="2E5C8E"/>
          <w:sz w:val="28"/>
          <w:szCs w:val="28"/>
        </w:rPr>
        <w:t xml:space="preserve">7. Gift Acceptance and Expense Reimbursement</w:t>
      </w:r>
    </w:p>
    <w:p>
      <w:pPr>
        <w:pStyle w:val="Heading2"/>
        <w:spacing w:after="80" w:before="280"/>
      </w:pPr>
      <w:r>
        <w:rPr>
          <w:rFonts w:ascii="Arial" w:cs="Arial" w:eastAsia="Arial" w:hAnsi="Arial"/>
          <w:b/>
          <w:bCs/>
          <w:color w:val="1A1A1A"/>
          <w:sz w:val="24"/>
          <w:szCs w:val="24"/>
        </w:rPr>
        <w:t xml:space="preserve">7.1 Gift Acceptance</w:t>
      </w:r>
    </w:p>
    <w:p>
      <w:pPr>
        <w:spacing w:after="80" w:before="80"/>
      </w:pPr>
      <w:r>
        <w:rPr>
          <w:rFonts w:ascii="Arial" w:cs="Arial" w:eastAsia="Arial" w:hAnsi="Arial"/>
          <w:color w:val="1A1A1A"/>
          <w:sz w:val="22"/>
          <w:szCs w:val="22"/>
        </w:rPr>
        <w:t xml:space="preserve">The Foundation welcomes donations that advance its mission. The following guidelines govern what the Foundation will and will not accept.</w:t>
      </w:r>
    </w:p>
    <w:p>
      <w:pPr>
        <w:spacing w:after="80" w:before="80"/>
      </w:pPr>
      <w:r>
        <w:rPr>
          <w:rFonts w:ascii="Arial" w:cs="Arial" w:eastAsia="Arial" w:hAnsi="Arial"/>
          <w:color w:val="1A1A1A"/>
          <w:sz w:val="22"/>
          <w:szCs w:val="22"/>
        </w:rPr>
        <w:t xml:space="preserve">The Foundation may accept:</w:t>
      </w:r>
    </w:p>
    <w:p>
      <w:pPr>
        <w:pStyle w:val="ListParagraph"/>
        <w:numPr>
          <w:ilvl w:val="0"/>
          <w:numId w:val="2"/>
        </w:numPr>
        <w:spacing w:after="40" w:before="40"/>
      </w:pPr>
      <w:r>
        <w:rPr>
          <w:rFonts w:ascii="Arial" w:cs="Arial" w:eastAsia="Arial" w:hAnsi="Arial"/>
          <w:color w:val="1A1A1A"/>
          <w:sz w:val="22"/>
          <w:szCs w:val="22"/>
        </w:rPr>
        <w:t xml:space="preserve">Cash and check donations</w:t>
      </w:r>
    </w:p>
    <w:p>
      <w:pPr>
        <w:pStyle w:val="ListParagraph"/>
        <w:numPr>
          <w:ilvl w:val="0"/>
          <w:numId w:val="2"/>
        </w:numPr>
        <w:spacing w:after="40" w:before="40"/>
      </w:pPr>
      <w:r>
        <w:rPr>
          <w:rFonts w:ascii="Arial" w:cs="Arial" w:eastAsia="Arial" w:hAnsi="Arial"/>
          <w:color w:val="1A1A1A"/>
          <w:sz w:val="22"/>
          <w:szCs w:val="22"/>
        </w:rPr>
        <w:t xml:space="preserve">Credit card and online donations</w:t>
      </w:r>
    </w:p>
    <w:p>
      <w:pPr>
        <w:pStyle w:val="ListParagraph"/>
        <w:numPr>
          <w:ilvl w:val="0"/>
          <w:numId w:val="2"/>
        </w:numPr>
        <w:spacing w:after="40" w:before="40"/>
      </w:pPr>
      <w:r>
        <w:rPr>
          <w:rFonts w:ascii="Arial" w:cs="Arial" w:eastAsia="Arial" w:hAnsi="Arial"/>
          <w:color w:val="1A1A1A"/>
          <w:sz w:val="22"/>
          <w:szCs w:val="22"/>
        </w:rPr>
        <w:t xml:space="preserve">Donor-advised fund grants</w:t>
      </w:r>
    </w:p>
    <w:p>
      <w:pPr>
        <w:pStyle w:val="ListParagraph"/>
        <w:numPr>
          <w:ilvl w:val="0"/>
          <w:numId w:val="2"/>
        </w:numPr>
        <w:spacing w:after="40" w:before="40"/>
      </w:pPr>
      <w:r>
        <w:rPr>
          <w:rFonts w:ascii="Arial" w:cs="Arial" w:eastAsia="Arial" w:hAnsi="Arial"/>
          <w:color w:val="1A1A1A"/>
          <w:sz w:val="22"/>
          <w:szCs w:val="22"/>
        </w:rPr>
        <w:t xml:space="preserve">Unrestricted gifts of publicly traded securities</w:t>
      </w:r>
    </w:p>
    <w:p>
      <w:pPr>
        <w:pStyle w:val="ListParagraph"/>
        <w:numPr>
          <w:ilvl w:val="0"/>
          <w:numId w:val="2"/>
        </w:numPr>
        <w:spacing w:after="40" w:before="40"/>
      </w:pPr>
      <w:r>
        <w:rPr>
          <w:rFonts w:ascii="Arial" w:cs="Arial" w:eastAsia="Arial" w:hAnsi="Arial"/>
          <w:color w:val="1A1A1A"/>
          <w:sz w:val="22"/>
          <w:szCs w:val="22"/>
        </w:rPr>
        <w:t xml:space="preserve">Memorial and tribute gifts</w:t>
      </w:r>
    </w:p>
    <w:p>
      <w:pPr>
        <w:spacing w:after="80" w:before="80"/>
      </w:pPr>
      <w:r>
        <w:rPr>
          <w:rFonts w:ascii="Arial" w:cs="Arial" w:eastAsia="Arial" w:hAnsi="Arial"/>
          <w:color w:val="1A1A1A"/>
          <w:sz w:val="22"/>
          <w:szCs w:val="22"/>
        </w:rPr>
        <w:t xml:space="preserve">The following require board approval before acceptance:</w:t>
      </w:r>
    </w:p>
    <w:p>
      <w:pPr>
        <w:pStyle w:val="ListParagraph"/>
        <w:numPr>
          <w:ilvl w:val="0"/>
          <w:numId w:val="2"/>
        </w:numPr>
        <w:spacing w:after="40" w:before="40"/>
      </w:pPr>
      <w:r>
        <w:rPr>
          <w:rFonts w:ascii="Arial" w:cs="Arial" w:eastAsia="Arial" w:hAnsi="Arial"/>
          <w:color w:val="1A1A1A"/>
          <w:sz w:val="22"/>
          <w:szCs w:val="22"/>
        </w:rPr>
        <w:t xml:space="preserve">Gifts with restrictions that fall outside the Foundation's established program areas, that impose conditions the Foundation cannot reasonably fulfill, or that limit the Foundation's discretion in ways inconsistent with its mission</w:t>
      </w:r>
    </w:p>
    <w:p>
      <w:pPr>
        <w:pStyle w:val="ListParagraph"/>
        <w:numPr>
          <w:ilvl w:val="0"/>
          <w:numId w:val="2"/>
        </w:numPr>
        <w:spacing w:after="40" w:before="40"/>
      </w:pPr>
      <w:r>
        <w:rPr>
          <w:rFonts w:ascii="Arial" w:cs="Arial" w:eastAsia="Arial" w:hAnsi="Arial"/>
          <w:color w:val="1A1A1A"/>
          <w:sz w:val="22"/>
          <w:szCs w:val="22"/>
        </w:rPr>
        <w:t xml:space="preserve">Non-cash gifts other than publicly traded securities, including vehicles, equipment, or real property</w:t>
      </w:r>
    </w:p>
    <w:p>
      <w:pPr>
        <w:pStyle w:val="ListParagraph"/>
        <w:numPr>
          <w:ilvl w:val="0"/>
          <w:numId w:val="2"/>
        </w:numPr>
        <w:spacing w:after="40" w:before="40"/>
      </w:pPr>
      <w:r>
        <w:rPr>
          <w:rFonts w:ascii="Arial" w:cs="Arial" w:eastAsia="Arial" w:hAnsi="Arial"/>
          <w:color w:val="1A1A1A"/>
          <w:sz w:val="22"/>
          <w:szCs w:val="22"/>
        </w:rPr>
        <w:t xml:space="preserve">Gifts of cryptocurrency or other digital assets</w:t>
      </w:r>
    </w:p>
    <w:p>
      <w:pPr>
        <w:pStyle w:val="ListParagraph"/>
        <w:numPr>
          <w:ilvl w:val="0"/>
          <w:numId w:val="2"/>
        </w:numPr>
        <w:spacing w:after="40" w:before="40"/>
      </w:pPr>
      <w:r>
        <w:rPr>
          <w:rFonts w:ascii="Arial" w:cs="Arial" w:eastAsia="Arial" w:hAnsi="Arial"/>
          <w:color w:val="1A1A1A"/>
          <w:sz w:val="22"/>
          <w:szCs w:val="22"/>
        </w:rPr>
        <w:t xml:space="preserve">Gifts from donors who may expect something in return, including naming rights, promotional consideration, or influence over Foundation decisions</w:t>
      </w:r>
    </w:p>
    <w:p>
      <w:pPr>
        <w:pStyle w:val="ListParagraph"/>
        <w:numPr>
          <w:ilvl w:val="0"/>
          <w:numId w:val="2"/>
        </w:numPr>
        <w:spacing w:after="40" w:before="40"/>
      </w:pPr>
      <w:r>
        <w:rPr>
          <w:rFonts w:ascii="Arial" w:cs="Arial" w:eastAsia="Arial" w:hAnsi="Arial"/>
          <w:color w:val="1A1A1A"/>
          <w:sz w:val="22"/>
          <w:szCs w:val="22"/>
        </w:rPr>
        <w:t xml:space="preserve">Any gift above a threshold set by board resolution that the board determines warrants additional review</w:t>
      </w:r>
    </w:p>
    <w:p>
      <w:pPr>
        <w:spacing w:after="80" w:before="80"/>
      </w:pPr>
      <w:r>
        <w:rPr>
          <w:rFonts w:ascii="Arial" w:cs="Arial" w:eastAsia="Arial" w:hAnsi="Arial"/>
          <w:color w:val="1A1A1A"/>
          <w:sz w:val="22"/>
          <w:szCs w:val="22"/>
        </w:rPr>
        <w:t xml:space="preserve">The Foundation reserves the right to decline any gift that is inconsistent with its mission, creates undue administrative burden, or presents legal, financial, or reputational risk. No gift may be accepted on behalf of the Foundation without authorization from the board president or the full board as appropriate.</w:t>
      </w:r>
    </w:p>
    <w:p>
      <w:pPr>
        <w:pStyle w:val="Heading2"/>
        <w:spacing w:after="80" w:before="280"/>
      </w:pPr>
      <w:r>
        <w:rPr>
          <w:rFonts w:ascii="Arial" w:cs="Arial" w:eastAsia="Arial" w:hAnsi="Arial"/>
          <w:b/>
          <w:bCs/>
          <w:color w:val="1A1A1A"/>
          <w:sz w:val="24"/>
          <w:szCs w:val="24"/>
        </w:rPr>
        <w:t xml:space="preserve">7.2 Acknowledgment and Documentation</w:t>
      </w:r>
    </w:p>
    <w:p>
      <w:pPr>
        <w:spacing w:after="80" w:before="80"/>
      </w:pPr>
      <w:r>
        <w:rPr>
          <w:rFonts w:ascii="Arial" w:cs="Arial" w:eastAsia="Arial" w:hAnsi="Arial"/>
          <w:color w:val="1A1A1A"/>
          <w:sz w:val="22"/>
          <w:szCs w:val="22"/>
        </w:rPr>
        <w:t xml:space="preserve">All gifts shall be acknowledged in writing in accordance with IRS requirements. The treasurer is responsible for maintaining accurate donor records and ensuring timely acknowledgment letters are sent. Gifts of $250 or more require a written acknowledgment stating whether any goods or services were provided in exchange.</w:t>
      </w:r>
    </w:p>
    <w:p>
      <w:pPr>
        <w:pStyle w:val="Heading2"/>
        <w:spacing w:after="80" w:before="280"/>
      </w:pPr>
      <w:r>
        <w:rPr>
          <w:rFonts w:ascii="Arial" w:cs="Arial" w:eastAsia="Arial" w:hAnsi="Arial"/>
          <w:b/>
          <w:bCs/>
          <w:color w:val="1A1A1A"/>
          <w:sz w:val="24"/>
          <w:szCs w:val="24"/>
        </w:rPr>
        <w:t xml:space="preserve">7.3 Expense Reimbursement</w:t>
      </w:r>
    </w:p>
    <w:p>
      <w:pPr>
        <w:spacing w:after="80" w:before="80"/>
      </w:pPr>
      <w:r>
        <w:rPr>
          <w:rFonts w:ascii="Arial" w:cs="Arial" w:eastAsia="Arial" w:hAnsi="Arial"/>
          <w:color w:val="1A1A1A"/>
          <w:sz w:val="22"/>
          <w:szCs w:val="22"/>
        </w:rPr>
        <w:t xml:space="preserve">Board members and authorized volunteers may be reimbursed for reasonable, necessary expenses incurred on behalf of the Foundation. To receive reimbursement:</w:t>
      </w:r>
    </w:p>
    <w:p>
      <w:pPr>
        <w:pStyle w:val="ListParagraph"/>
        <w:numPr>
          <w:ilvl w:val="0"/>
          <w:numId w:val="2"/>
        </w:numPr>
        <w:spacing w:after="40" w:before="40"/>
      </w:pPr>
      <w:r>
        <w:rPr>
          <w:rFonts w:ascii="Arial" w:cs="Arial" w:eastAsia="Arial" w:hAnsi="Arial"/>
          <w:color w:val="1A1A1A"/>
          <w:sz w:val="22"/>
          <w:szCs w:val="22"/>
        </w:rPr>
        <w:t xml:space="preserve">Expenses must be pre-approved by the board president or treasurer when practicable, or submitted with a brief explanation when pre-approval was not possible</w:t>
      </w:r>
    </w:p>
    <w:p>
      <w:pPr>
        <w:pStyle w:val="ListParagraph"/>
        <w:numPr>
          <w:ilvl w:val="0"/>
          <w:numId w:val="2"/>
        </w:numPr>
        <w:spacing w:after="40" w:before="40"/>
      </w:pPr>
      <w:r>
        <w:rPr>
          <w:rFonts w:ascii="Arial" w:cs="Arial" w:eastAsia="Arial" w:hAnsi="Arial"/>
          <w:color w:val="1A1A1A"/>
          <w:sz w:val="22"/>
          <w:szCs w:val="22"/>
        </w:rPr>
        <w:t xml:space="preserve">Receipts are required for all expenses above $25</w:t>
      </w:r>
    </w:p>
    <w:p>
      <w:pPr>
        <w:pStyle w:val="ListParagraph"/>
        <w:numPr>
          <w:ilvl w:val="0"/>
          <w:numId w:val="2"/>
        </w:numPr>
        <w:spacing w:after="40" w:before="40"/>
      </w:pPr>
      <w:r>
        <w:rPr>
          <w:rFonts w:ascii="Arial" w:cs="Arial" w:eastAsia="Arial" w:hAnsi="Arial"/>
          <w:color w:val="1A1A1A"/>
          <w:sz w:val="22"/>
          <w:szCs w:val="22"/>
        </w:rPr>
        <w:t xml:space="preserve">Reimbursement requests must be submitted within 30 days of the expense</w:t>
      </w:r>
    </w:p>
    <w:p>
      <w:pPr>
        <w:pStyle w:val="ListParagraph"/>
        <w:numPr>
          <w:ilvl w:val="0"/>
          <w:numId w:val="2"/>
        </w:numPr>
        <w:spacing w:after="40" w:before="40"/>
      </w:pPr>
      <w:r>
        <w:rPr>
          <w:rFonts w:ascii="Arial" w:cs="Arial" w:eastAsia="Arial" w:hAnsi="Arial"/>
          <w:color w:val="1A1A1A"/>
          <w:sz w:val="22"/>
          <w:szCs w:val="22"/>
        </w:rPr>
        <w:t xml:space="preserve">The treasurer processes reimbursements and maintains records of all payments</w:t>
      </w:r>
    </w:p>
    <w:p>
      <w:pPr>
        <w:spacing w:after="80" w:before="80"/>
      </w:pPr>
      <w:r>
        <w:rPr>
          <w:rFonts w:ascii="Arial" w:cs="Arial" w:eastAsia="Arial" w:hAnsi="Arial"/>
          <w:color w:val="1A1A1A"/>
          <w:sz w:val="22"/>
          <w:szCs w:val="22"/>
        </w:rPr>
        <w:t xml:space="preserve">The treasurer reviews and approves all reimbursement requests. The board president's reimbursement requests shall be reviewed and approved by the treasurer. The treasurer's own reimbursement requests shall be reviewed and approved by the board president. No one may approve their own reimbursement.</w:t>
      </w:r>
    </w:p>
    <w:p>
      <w:pPr>
        <w:pStyle w:val="Heading1"/>
        <w:pBdr>
          <w:bottom w:val="single" w:color="2E5C8E" w:sz="8" w:space="6"/>
        </w:pBdr>
        <w:spacing w:after="120" w:before="400"/>
      </w:pPr>
      <w:r>
        <w:rPr>
          <w:rFonts w:ascii="Arial" w:cs="Arial" w:eastAsia="Arial" w:hAnsi="Arial"/>
          <w:b/>
          <w:bCs/>
          <w:color w:val="2E5C8E"/>
          <w:sz w:val="28"/>
          <w:szCs w:val="28"/>
        </w:rPr>
        <w:t xml:space="preserve">8. Whistleblower Policy</w:t>
      </w:r>
    </w:p>
    <w:p>
      <w:pPr>
        <w:pStyle w:val="Heading2"/>
        <w:spacing w:after="80" w:before="280"/>
      </w:pPr>
      <w:r>
        <w:rPr>
          <w:rFonts w:ascii="Arial" w:cs="Arial" w:eastAsia="Arial" w:hAnsi="Arial"/>
          <w:b/>
          <w:bCs/>
          <w:color w:val="1A1A1A"/>
          <w:sz w:val="24"/>
          <w:szCs w:val="24"/>
        </w:rPr>
        <w:t xml:space="preserve">8.1 Purpose</w:t>
      </w:r>
    </w:p>
    <w:p>
      <w:pPr>
        <w:spacing w:after="80" w:before="80"/>
      </w:pPr>
      <w:r>
        <w:rPr>
          <w:rFonts w:ascii="Arial" w:cs="Arial" w:eastAsia="Arial" w:hAnsi="Arial"/>
          <w:color w:val="1A1A1A"/>
          <w:sz w:val="22"/>
          <w:szCs w:val="22"/>
        </w:rPr>
        <w:t xml:space="preserve">The Foundation is committed to ethical conduct and legal compliance. Board members and volunteers are encouraged to report in good faith any suspected misconduct, financial irregularity, legal violation, or breach of Foundation policy. This policy protects those who raise concerns in good faith and establishes a clear process for handling reports.</w:t>
      </w:r>
    </w:p>
    <w:p>
      <w:pPr>
        <w:pStyle w:val="Heading2"/>
        <w:spacing w:after="80" w:before="280"/>
      </w:pPr>
      <w:r>
        <w:rPr>
          <w:rFonts w:ascii="Arial" w:cs="Arial" w:eastAsia="Arial" w:hAnsi="Arial"/>
          <w:b/>
          <w:bCs/>
          <w:color w:val="1A1A1A"/>
          <w:sz w:val="24"/>
          <w:szCs w:val="24"/>
        </w:rPr>
        <w:t xml:space="preserve">8.2 What to Report</w:t>
      </w:r>
    </w:p>
    <w:p>
      <w:pPr>
        <w:spacing w:after="80" w:before="80"/>
      </w:pPr>
      <w:r>
        <w:rPr>
          <w:rFonts w:ascii="Arial" w:cs="Arial" w:eastAsia="Arial" w:hAnsi="Arial"/>
          <w:color w:val="1A1A1A"/>
          <w:sz w:val="22"/>
          <w:szCs w:val="22"/>
        </w:rPr>
        <w:t xml:space="preserve">Reports under this policy may include but are not limited to:</w:t>
      </w:r>
    </w:p>
    <w:p>
      <w:pPr>
        <w:pStyle w:val="ListParagraph"/>
        <w:numPr>
          <w:ilvl w:val="0"/>
          <w:numId w:val="2"/>
        </w:numPr>
        <w:spacing w:after="40" w:before="40"/>
      </w:pPr>
      <w:r>
        <w:rPr>
          <w:rFonts w:ascii="Arial" w:cs="Arial" w:eastAsia="Arial" w:hAnsi="Arial"/>
          <w:color w:val="1A1A1A"/>
          <w:sz w:val="22"/>
          <w:szCs w:val="22"/>
        </w:rPr>
        <w:t xml:space="preserve">Suspected fraud, theft, or misuse of Foundation funds or assets</w:t>
      </w:r>
    </w:p>
    <w:p>
      <w:pPr>
        <w:pStyle w:val="ListParagraph"/>
        <w:numPr>
          <w:ilvl w:val="0"/>
          <w:numId w:val="2"/>
        </w:numPr>
        <w:spacing w:after="40" w:before="40"/>
      </w:pPr>
      <w:r>
        <w:rPr>
          <w:rFonts w:ascii="Arial" w:cs="Arial" w:eastAsia="Arial" w:hAnsi="Arial"/>
          <w:color w:val="1A1A1A"/>
          <w:sz w:val="22"/>
          <w:szCs w:val="22"/>
        </w:rPr>
        <w:t xml:space="preserve">Falsification of financial records, reports, or grant applications</w:t>
      </w:r>
    </w:p>
    <w:p>
      <w:pPr>
        <w:pStyle w:val="ListParagraph"/>
        <w:numPr>
          <w:ilvl w:val="0"/>
          <w:numId w:val="2"/>
        </w:numPr>
        <w:spacing w:after="40" w:before="40"/>
      </w:pPr>
      <w:r>
        <w:rPr>
          <w:rFonts w:ascii="Arial" w:cs="Arial" w:eastAsia="Arial" w:hAnsi="Arial"/>
          <w:color w:val="1A1A1A"/>
          <w:sz w:val="22"/>
          <w:szCs w:val="22"/>
        </w:rPr>
        <w:t xml:space="preserve">Violations of law or regulations applicable to the Foundation</w:t>
      </w:r>
    </w:p>
    <w:p>
      <w:pPr>
        <w:pStyle w:val="ListParagraph"/>
        <w:numPr>
          <w:ilvl w:val="0"/>
          <w:numId w:val="2"/>
        </w:numPr>
        <w:spacing w:after="40" w:before="40"/>
      </w:pPr>
      <w:r>
        <w:rPr>
          <w:rFonts w:ascii="Arial" w:cs="Arial" w:eastAsia="Arial" w:hAnsi="Arial"/>
          <w:color w:val="1A1A1A"/>
          <w:sz w:val="22"/>
          <w:szCs w:val="22"/>
        </w:rPr>
        <w:t xml:space="preserve">Undisclosed conflicts of interest</w:t>
      </w:r>
    </w:p>
    <w:p>
      <w:pPr>
        <w:pStyle w:val="ListParagraph"/>
        <w:numPr>
          <w:ilvl w:val="0"/>
          <w:numId w:val="2"/>
        </w:numPr>
        <w:spacing w:after="40" w:before="40"/>
      </w:pPr>
      <w:r>
        <w:rPr>
          <w:rFonts w:ascii="Arial" w:cs="Arial" w:eastAsia="Arial" w:hAnsi="Arial"/>
          <w:color w:val="1A1A1A"/>
          <w:sz w:val="22"/>
          <w:szCs w:val="22"/>
        </w:rPr>
        <w:t xml:space="preserve">Harassment or retaliation against a board member or volunteer</w:t>
      </w:r>
    </w:p>
    <w:p>
      <w:pPr>
        <w:pStyle w:val="ListParagraph"/>
        <w:numPr>
          <w:ilvl w:val="0"/>
          <w:numId w:val="2"/>
        </w:numPr>
        <w:spacing w:after="40" w:before="40"/>
      </w:pPr>
      <w:r>
        <w:rPr>
          <w:rFonts w:ascii="Arial" w:cs="Arial" w:eastAsia="Arial" w:hAnsi="Arial"/>
          <w:color w:val="1A1A1A"/>
          <w:sz w:val="22"/>
          <w:szCs w:val="22"/>
        </w:rPr>
        <w:t xml:space="preserve">Any other conduct that appears to violate the Foundation's policies or ethical standards</w:t>
      </w:r>
    </w:p>
    <w:p>
      <w:pPr>
        <w:pStyle w:val="Heading2"/>
        <w:spacing w:after="80" w:before="280"/>
      </w:pPr>
      <w:r>
        <w:rPr>
          <w:rFonts w:ascii="Arial" w:cs="Arial" w:eastAsia="Arial" w:hAnsi="Arial"/>
          <w:b/>
          <w:bCs/>
          <w:color w:val="1A1A1A"/>
          <w:sz w:val="24"/>
          <w:szCs w:val="24"/>
        </w:rPr>
        <w:t xml:space="preserve">8.3 How to Report</w:t>
      </w:r>
    </w:p>
    <w:p>
      <w:pPr>
        <w:spacing w:after="80" w:before="80"/>
      </w:pPr>
      <w:r>
        <w:rPr>
          <w:rFonts w:ascii="Arial" w:cs="Arial" w:eastAsia="Arial" w:hAnsi="Arial"/>
          <w:color w:val="1A1A1A"/>
          <w:sz w:val="22"/>
          <w:szCs w:val="22"/>
        </w:rPr>
        <w:t xml:space="preserve">Concerns should be reported to the board president. If the concern involves the board president, it should be reported to the secretary or treasurer. Reports may be made verbally or in writing. The Foundation will not require a reporter to identify themselves, though providing contact information may assist in investigating the concern.</w:t>
      </w:r>
    </w:p>
    <w:p>
      <w:pPr>
        <w:pStyle w:val="Heading2"/>
        <w:spacing w:after="80" w:before="280"/>
      </w:pPr>
      <w:r>
        <w:rPr>
          <w:rFonts w:ascii="Arial" w:cs="Arial" w:eastAsia="Arial" w:hAnsi="Arial"/>
          <w:b/>
          <w:bCs/>
          <w:color w:val="1A1A1A"/>
          <w:sz w:val="24"/>
          <w:szCs w:val="24"/>
        </w:rPr>
        <w:t xml:space="preserve">8.4 Non-Retaliation</w:t>
      </w:r>
    </w:p>
    <w:p>
      <w:pPr>
        <w:spacing w:after="80" w:before="80"/>
      </w:pPr>
      <w:r>
        <w:rPr>
          <w:rFonts w:ascii="Arial" w:cs="Arial" w:eastAsia="Arial" w:hAnsi="Arial"/>
          <w:color w:val="1A1A1A"/>
          <w:sz w:val="22"/>
          <w:szCs w:val="22"/>
        </w:rPr>
        <w:t xml:space="preserve">No board member or volunteer who reports a concern in good faith shall be subject to retaliation, harassment, or adverse treatment of any kind as a result of making a report. Any person who retaliates against a good-faith reporter is subject to disciplinary action up to and including removal from the board.</w:t>
      </w:r>
    </w:p>
    <w:p>
      <w:pPr>
        <w:pStyle w:val="Heading2"/>
        <w:spacing w:after="80" w:before="280"/>
      </w:pPr>
      <w:r>
        <w:rPr>
          <w:rFonts w:ascii="Arial" w:cs="Arial" w:eastAsia="Arial" w:hAnsi="Arial"/>
          <w:b/>
          <w:bCs/>
          <w:color w:val="1A1A1A"/>
          <w:sz w:val="24"/>
          <w:szCs w:val="24"/>
        </w:rPr>
        <w:t xml:space="preserve">8.5 Investigation and Documentation</w:t>
      </w:r>
    </w:p>
    <w:p>
      <w:pPr>
        <w:spacing w:after="80" w:before="80"/>
      </w:pPr>
      <w:r>
        <w:rPr>
          <w:rFonts w:ascii="Arial" w:cs="Arial" w:eastAsia="Arial" w:hAnsi="Arial"/>
          <w:color w:val="1A1A1A"/>
          <w:sz w:val="22"/>
          <w:szCs w:val="22"/>
        </w:rPr>
        <w:t xml:space="preserve">The board president, or another designated board member if the president is implicated, shall be responsible for investigating all reports promptly and in good faith. The nature of the report, the investigation conducted, and the outcome shall be documented and retained in accordance with the Foundation's Document Retention and Destruction Policy. If a report involves potential legal liability, the board shall consult legal counsel before proceeding.</w:t>
      </w:r>
    </w:p>
    <w:p>
      <w:pPr>
        <w:pStyle w:val="Heading1"/>
        <w:pBdr>
          <w:bottom w:val="single" w:color="2E5C8E" w:sz="8" w:space="6"/>
        </w:pBdr>
        <w:spacing w:after="120" w:before="400"/>
      </w:pPr>
      <w:r>
        <w:rPr>
          <w:rFonts w:ascii="Arial" w:cs="Arial" w:eastAsia="Arial" w:hAnsi="Arial"/>
          <w:b/>
          <w:bCs/>
          <w:color w:val="2E5C8E"/>
          <w:sz w:val="28"/>
          <w:szCs w:val="28"/>
        </w:rPr>
        <w:t xml:space="preserve">9. Form 990 Review</w:t>
      </w:r>
    </w:p>
    <w:p>
      <w:pPr>
        <w:pStyle w:val="Heading2"/>
        <w:spacing w:after="80" w:before="280"/>
      </w:pPr>
      <w:r>
        <w:rPr>
          <w:rFonts w:ascii="Arial" w:cs="Arial" w:eastAsia="Arial" w:hAnsi="Arial"/>
          <w:b/>
          <w:bCs/>
          <w:color w:val="1A1A1A"/>
          <w:sz w:val="24"/>
          <w:szCs w:val="24"/>
        </w:rPr>
        <w:t xml:space="preserve">9.1 Board Review Required</w:t>
      </w:r>
    </w:p>
    <w:p>
      <w:pPr>
        <w:spacing w:after="80" w:before="80"/>
      </w:pPr>
      <w:r>
        <w:rPr>
          <w:rFonts w:ascii="Arial" w:cs="Arial" w:eastAsia="Arial" w:hAnsi="Arial"/>
          <w:color w:val="1A1A1A"/>
          <w:sz w:val="22"/>
          <w:szCs w:val="22"/>
        </w:rPr>
        <w:t xml:space="preserve">The full board shall receive and review a complete copy of the Foundation's IRS Form 990 before it is filed each year. The treasurer shall distribute the draft Form 990 to all board members at least fourteen days before the filing deadline to allow adequate time for review.</w:t>
      </w:r>
    </w:p>
    <w:p>
      <w:pPr>
        <w:pStyle w:val="Heading2"/>
        <w:spacing w:after="80" w:before="280"/>
      </w:pPr>
      <w:r>
        <w:rPr>
          <w:rFonts w:ascii="Arial" w:cs="Arial" w:eastAsia="Arial" w:hAnsi="Arial"/>
          <w:b/>
          <w:bCs/>
          <w:color w:val="1A1A1A"/>
          <w:sz w:val="24"/>
          <w:szCs w:val="24"/>
        </w:rPr>
        <w:t xml:space="preserve">9.2 Review Process</w:t>
      </w:r>
    </w:p>
    <w:p>
      <w:pPr>
        <w:spacing w:after="80" w:before="80"/>
      </w:pPr>
      <w:r>
        <w:rPr>
          <w:rFonts w:ascii="Arial" w:cs="Arial" w:eastAsia="Arial" w:hAnsi="Arial"/>
          <w:color w:val="1A1A1A"/>
          <w:sz w:val="22"/>
          <w:szCs w:val="22"/>
        </w:rPr>
        <w:t xml:space="preserve">Board members are encouraged to raise any questions or concerns about the Form 990 prior to filing. The board president or treasurer shall address any questions and document that the review was completed. The date of board review and the names of board members who participated shall be noted in the board records.</w:t>
      </w:r>
    </w:p>
    <w:p>
      <w:pPr>
        <w:pStyle w:val="Heading2"/>
        <w:spacing w:after="80" w:before="280"/>
      </w:pPr>
      <w:r>
        <w:rPr>
          <w:rFonts w:ascii="Arial" w:cs="Arial" w:eastAsia="Arial" w:hAnsi="Arial"/>
          <w:b/>
          <w:bCs/>
          <w:color w:val="1A1A1A"/>
          <w:sz w:val="24"/>
          <w:szCs w:val="24"/>
        </w:rPr>
        <w:t xml:space="preserve">9.3 Public Disclosure</w:t>
      </w:r>
    </w:p>
    <w:p>
      <w:pPr>
        <w:spacing w:after="80" w:before="80"/>
      </w:pPr>
      <w:r>
        <w:rPr>
          <w:rFonts w:ascii="Arial" w:cs="Arial" w:eastAsia="Arial" w:hAnsi="Arial"/>
          <w:color w:val="1A1A1A"/>
          <w:sz w:val="22"/>
          <w:szCs w:val="22"/>
        </w:rPr>
        <w:t xml:space="preserve">The Foundation shall make its Form 990 available for public inspection as required by law, including posting it on the Foundation's website or a public database within a reasonable time after filing.</w:t>
      </w:r>
    </w:p>
    <w:p>
      <w:pPr>
        <w:pStyle w:val="Heading1"/>
        <w:pBdr>
          <w:bottom w:val="single" w:color="2E5C8E" w:sz="8" w:space="6"/>
        </w:pBdr>
        <w:spacing w:after="120" w:before="400"/>
      </w:pPr>
      <w:r>
        <w:rPr>
          <w:rFonts w:ascii="Arial" w:cs="Arial" w:eastAsia="Arial" w:hAnsi="Arial"/>
          <w:b/>
          <w:bCs/>
          <w:color w:val="2E5C8E"/>
          <w:sz w:val="28"/>
          <w:szCs w:val="28"/>
        </w:rPr>
        <w:t xml:space="preserve">4. Conflict of Interest</w:t>
      </w:r>
    </w:p>
    <w:p>
      <w:pPr>
        <w:pStyle w:val="Heading2"/>
        <w:spacing w:after="80" w:before="280"/>
      </w:pPr>
      <w:r>
        <w:rPr>
          <w:rFonts w:ascii="Arial" w:cs="Arial" w:eastAsia="Arial" w:hAnsi="Arial"/>
          <w:b/>
          <w:bCs/>
          <w:color w:val="1A1A1A"/>
          <w:sz w:val="24"/>
          <w:szCs w:val="24"/>
        </w:rPr>
        <w:t xml:space="preserve">4.1 Disclosure</w:t>
      </w:r>
    </w:p>
    <w:p>
      <w:pPr>
        <w:spacing w:after="80" w:before="80"/>
      </w:pPr>
      <w:r>
        <w:rPr>
          <w:rFonts w:ascii="Arial" w:cs="Arial" w:eastAsia="Arial" w:hAnsi="Arial"/>
          <w:color w:val="1A1A1A"/>
          <w:sz w:val="22"/>
          <w:szCs w:val="22"/>
        </w:rPr>
        <w:t xml:space="preserve">Board members must promptly disclose any actual, potential, or perceived conflict of interest related to any matter before the board. This includes personal, financial, or professional relationships that could influence or appear to influence a board member's judgment. Disclosure should be made to the board chair or secretary prior to any discussion or vote on the matter in question. If a conflict arises during a meeting, the board member shall disclose it at that time before discussion proceeds.</w:t>
      </w:r>
    </w:p>
    <w:p>
      <w:pPr>
        <w:spacing w:after="80" w:before="80"/>
      </w:pPr>
      <w:r>
        <w:rPr>
          <w:rFonts w:ascii="Arial" w:cs="Arial" w:eastAsia="Arial" w:hAnsi="Arial"/>
          <w:color w:val="1A1A1A"/>
          <w:sz w:val="22"/>
          <w:szCs w:val="22"/>
        </w:rPr>
        <w:t xml:space="preserve">Examples of conflicts that must be disclosed include but are not limited to:</w:t>
      </w:r>
    </w:p>
    <w:p>
      <w:pPr>
        <w:pStyle w:val="ListParagraph"/>
        <w:numPr>
          <w:ilvl w:val="0"/>
          <w:numId w:val="2"/>
        </w:numPr>
        <w:spacing w:after="40" w:before="40"/>
      </w:pPr>
      <w:r>
        <w:rPr>
          <w:rFonts w:ascii="Arial" w:cs="Arial" w:eastAsia="Arial" w:hAnsi="Arial"/>
          <w:color w:val="1A1A1A"/>
          <w:sz w:val="22"/>
          <w:szCs w:val="22"/>
        </w:rPr>
        <w:t xml:space="preserve">A board member owns or has a significant financial stake in a company the Foundation is considering hiring or contracting with</w:t>
      </w:r>
    </w:p>
    <w:p>
      <w:pPr>
        <w:pStyle w:val="ListParagraph"/>
        <w:numPr>
          <w:ilvl w:val="0"/>
          <w:numId w:val="2"/>
        </w:numPr>
        <w:spacing w:after="40" w:before="40"/>
      </w:pPr>
      <w:r>
        <w:rPr>
          <w:rFonts w:ascii="Arial" w:cs="Arial" w:eastAsia="Arial" w:hAnsi="Arial"/>
          <w:color w:val="1A1A1A"/>
          <w:sz w:val="22"/>
          <w:szCs w:val="22"/>
        </w:rPr>
        <w:t xml:space="preserve">A board member's spouse or family member works for an organization the Foundation is considering partnering with or endorsing</w:t>
      </w:r>
    </w:p>
    <w:p>
      <w:pPr>
        <w:pStyle w:val="ListParagraph"/>
        <w:numPr>
          <w:ilvl w:val="0"/>
          <w:numId w:val="2"/>
        </w:numPr>
        <w:spacing w:after="40" w:before="40"/>
      </w:pPr>
      <w:r>
        <w:rPr>
          <w:rFonts w:ascii="Arial" w:cs="Arial" w:eastAsia="Arial" w:hAnsi="Arial"/>
          <w:color w:val="1A1A1A"/>
          <w:sz w:val="22"/>
          <w:szCs w:val="22"/>
        </w:rPr>
        <w:t xml:space="preserve">A board member has a personal or professional relationship with a researcher whose study the Foundation is considering promoting or funding</w:t>
      </w:r>
    </w:p>
    <w:p>
      <w:pPr>
        <w:pStyle w:val="ListParagraph"/>
        <w:numPr>
          <w:ilvl w:val="0"/>
          <w:numId w:val="2"/>
        </w:numPr>
        <w:spacing w:after="40" w:before="40"/>
      </w:pPr>
      <w:r>
        <w:rPr>
          <w:rFonts w:ascii="Arial" w:cs="Arial" w:eastAsia="Arial" w:hAnsi="Arial"/>
          <w:color w:val="1A1A1A"/>
          <w:sz w:val="22"/>
          <w:szCs w:val="22"/>
        </w:rPr>
        <w:t xml:space="preserve">A board member is themselves a researcher who would benefit from Foundation visibility, funding, or endorsement</w:t>
      </w:r>
    </w:p>
    <w:p>
      <w:pPr>
        <w:pStyle w:val="ListParagraph"/>
        <w:numPr>
          <w:ilvl w:val="0"/>
          <w:numId w:val="2"/>
        </w:numPr>
        <w:spacing w:after="40" w:before="40"/>
      </w:pPr>
      <w:r>
        <w:rPr>
          <w:rFonts w:ascii="Arial" w:cs="Arial" w:eastAsia="Arial" w:hAnsi="Arial"/>
          <w:color w:val="1A1A1A"/>
          <w:sz w:val="22"/>
          <w:szCs w:val="22"/>
        </w:rPr>
        <w:t xml:space="preserve">A board member stands to receive compensation, recognition, or career advancement as a result of a Foundation decision</w:t>
      </w:r>
    </w:p>
    <w:p>
      <w:pPr>
        <w:pStyle w:val="ListParagraph"/>
        <w:numPr>
          <w:ilvl w:val="0"/>
          <w:numId w:val="2"/>
        </w:numPr>
        <w:spacing w:after="40" w:before="40"/>
      </w:pPr>
      <w:r>
        <w:rPr>
          <w:rFonts w:ascii="Arial" w:cs="Arial" w:eastAsia="Arial" w:hAnsi="Arial"/>
          <w:color w:val="1A1A1A"/>
          <w:sz w:val="22"/>
          <w:szCs w:val="22"/>
        </w:rPr>
        <w:t xml:space="preserve">A board member sits on the board of another organization that would benefit from a Foundation partnership or referral</w:t>
      </w:r>
    </w:p>
    <w:p>
      <w:pPr>
        <w:pStyle w:val="ListParagraph"/>
        <w:numPr>
          <w:ilvl w:val="0"/>
          <w:numId w:val="2"/>
        </w:numPr>
        <w:spacing w:after="40" w:before="40"/>
      </w:pPr>
      <w:r>
        <w:rPr>
          <w:rFonts w:ascii="Arial" w:cs="Arial" w:eastAsia="Arial" w:hAnsi="Arial"/>
          <w:color w:val="1A1A1A"/>
          <w:sz w:val="22"/>
          <w:szCs w:val="22"/>
        </w:rPr>
        <w:t xml:space="preserve">A board member has a close personal friendship with someone being considered for a paid role or contract with the Foundation</w:t>
      </w:r>
    </w:p>
    <w:p>
      <w:pPr>
        <w:pStyle w:val="ListParagraph"/>
        <w:numPr>
          <w:ilvl w:val="0"/>
          <w:numId w:val="2"/>
        </w:numPr>
        <w:spacing w:after="40" w:before="40"/>
      </w:pPr>
      <w:r>
        <w:rPr>
          <w:rFonts w:ascii="Arial" w:cs="Arial" w:eastAsia="Arial" w:hAnsi="Arial"/>
          <w:color w:val="1A1A1A"/>
          <w:sz w:val="22"/>
          <w:szCs w:val="22"/>
        </w:rPr>
        <w:t xml:space="preserve">A board member has a public advocacy position or organizational affiliation that could conflict with a Foundation stance or partnership decision</w:t>
      </w:r>
    </w:p>
    <w:p>
      <w:pPr>
        <w:spacing w:after="80" w:before="80"/>
      </w:pPr>
      <w:r>
        <w:rPr>
          <w:rFonts w:ascii="Arial" w:cs="Arial" w:eastAsia="Arial" w:hAnsi="Arial"/>
          <w:color w:val="1A1A1A"/>
          <w:sz w:val="22"/>
          <w:szCs w:val="22"/>
        </w:rPr>
        <w:t xml:space="preserve">This list is illustrative, not exhaustive. When in doubt, disclose.</w:t>
      </w:r>
    </w:p>
    <w:p>
      <w:pPr>
        <w:pStyle w:val="Heading2"/>
        <w:spacing w:after="80" w:before="280"/>
      </w:pPr>
      <w:r>
        <w:rPr>
          <w:rFonts w:ascii="Arial" w:cs="Arial" w:eastAsia="Arial" w:hAnsi="Arial"/>
          <w:b/>
          <w:bCs/>
          <w:color w:val="1A1A1A"/>
          <w:sz w:val="24"/>
          <w:szCs w:val="24"/>
        </w:rPr>
        <w:t xml:space="preserve">4.2 Recusal</w:t>
      </w:r>
    </w:p>
    <w:p>
      <w:pPr>
        <w:spacing w:after="80" w:before="80"/>
      </w:pPr>
      <w:r>
        <w:rPr>
          <w:rFonts w:ascii="Arial" w:cs="Arial" w:eastAsia="Arial" w:hAnsi="Arial"/>
          <w:color w:val="1A1A1A"/>
          <w:sz w:val="22"/>
          <w:szCs w:val="22"/>
        </w:rPr>
        <w:t xml:space="preserve">A board member with a conflict of interest in a matter under discussion must recuse themselves from both the discussion and the vote on that matter. Recusal is noted in the meeting minutes.</w:t>
      </w:r>
    </w:p>
    <w:p>
      <w:pPr>
        <w:pStyle w:val="Heading2"/>
        <w:spacing w:after="80" w:before="280"/>
      </w:pPr>
      <w:r>
        <w:rPr>
          <w:rFonts w:ascii="Arial" w:cs="Arial" w:eastAsia="Arial" w:hAnsi="Arial"/>
          <w:b/>
          <w:bCs/>
          <w:color w:val="1A1A1A"/>
          <w:sz w:val="24"/>
          <w:szCs w:val="24"/>
        </w:rPr>
        <w:t xml:space="preserve">9.3 Annual Acknowledgment</w:t>
      </w:r>
    </w:p>
    <w:p>
      <w:pPr>
        <w:spacing w:after="80" w:before="80"/>
      </w:pPr>
      <w:r>
        <w:rPr>
          <w:rFonts w:ascii="Arial" w:cs="Arial" w:eastAsia="Arial" w:hAnsi="Arial"/>
          <w:color w:val="1A1A1A"/>
          <w:sz w:val="22"/>
          <w:szCs w:val="22"/>
        </w:rPr>
        <w:t xml:space="preserve">Board members will be asked to review and acknowledge the Conflict of Interest Policy annually.</w:t>
      </w:r>
    </w:p>
    <w:p>
      <w:pPr>
        <w:spacing w:after="0" w:before="0"/>
      </w:pPr>
      <w:r>
        <w:t xml:space="preserve"/>
      </w:r>
    </w:p>
    <w:p>
      <w:pPr>
        <w:pStyle w:val="Heading1"/>
        <w:pBdr>
          <w:bottom w:val="single" w:color="2E5C8E" w:sz="8" w:space="6"/>
        </w:pBdr>
        <w:spacing w:after="120" w:before="400"/>
      </w:pPr>
      <w:r>
        <w:rPr>
          <w:rFonts w:ascii="Arial" w:cs="Arial" w:eastAsia="Arial" w:hAnsi="Arial"/>
          <w:b/>
          <w:bCs/>
          <w:color w:val="2E5C8E"/>
          <w:sz w:val="28"/>
          <w:szCs w:val="28"/>
        </w:rPr>
        <w:t xml:space="preserve">5. Financial Controls and Spending Authority</w:t>
      </w:r>
    </w:p>
    <w:p>
      <w:pPr>
        <w:pStyle w:val="Heading2"/>
        <w:spacing w:after="80" w:before="280"/>
      </w:pPr>
      <w:r>
        <w:rPr>
          <w:rFonts w:ascii="Arial" w:cs="Arial" w:eastAsia="Arial" w:hAnsi="Arial"/>
          <w:b/>
          <w:bCs/>
          <w:color w:val="1A1A1A"/>
          <w:sz w:val="24"/>
          <w:szCs w:val="24"/>
        </w:rPr>
        <w:t xml:space="preserve">5.1 Bank Account Authorization</w:t>
      </w:r>
    </w:p>
    <w:p>
      <w:pPr>
        <w:spacing w:after="80" w:before="80"/>
      </w:pPr>
      <w:r>
        <w:rPr>
          <w:rFonts w:ascii="Arial" w:cs="Arial" w:eastAsia="Arial" w:hAnsi="Arial"/>
          <w:color w:val="1A1A1A"/>
          <w:sz w:val="22"/>
          <w:szCs w:val="22"/>
        </w:rPr>
        <w:t xml:space="preserve">The board shall designate authorized signatories for all foundation bank accounts by board resolution. Any change to authorized signatories requires a board vote.</w:t>
      </w:r>
    </w:p>
    <w:p>
      <w:pPr>
        <w:pStyle w:val="Heading2"/>
        <w:spacing w:after="80" w:before="280"/>
      </w:pPr>
      <w:r>
        <w:rPr>
          <w:rFonts w:ascii="Arial" w:cs="Arial" w:eastAsia="Arial" w:hAnsi="Arial"/>
          <w:b/>
          <w:bCs/>
          <w:color w:val="1A1A1A"/>
          <w:sz w:val="24"/>
          <w:szCs w:val="24"/>
        </w:rPr>
        <w:t xml:space="preserve">5.2 Spending Authority</w:t>
      </w:r>
    </w:p>
    <w:p>
      <w:pPr>
        <w:spacing w:after="80" w:before="80"/>
      </w:pPr>
      <w:r>
        <w:rPr>
          <w:rFonts w:ascii="Arial" w:cs="Arial" w:eastAsia="Arial" w:hAnsi="Arial"/>
          <w:color w:val="1A1A1A"/>
          <w:sz w:val="22"/>
          <w:szCs w:val="22"/>
        </w:rPr>
        <w:t xml:space="preserve">Expenditures within the board-approved budget that fall within categories and amounts authorized by the board may be made by the treasurer or board president without additional approval. Any expenditure outside the approved budget or above the authorized threshold requires board approval prior to commitment.</w:t>
      </w:r>
    </w:p>
    <w:p>
      <w:pPr>
        <w:pStyle w:val="Heading2"/>
        <w:spacing w:after="80" w:before="280"/>
      </w:pPr>
      <w:r>
        <w:rPr>
          <w:rFonts w:ascii="Arial" w:cs="Arial" w:eastAsia="Arial" w:hAnsi="Arial"/>
          <w:b/>
          <w:bCs/>
          <w:color w:val="1A1A1A"/>
          <w:sz w:val="24"/>
          <w:szCs w:val="24"/>
        </w:rPr>
        <w:t xml:space="preserve">5.3 Financial Reporting</w:t>
      </w:r>
    </w:p>
    <w:p>
      <w:pPr>
        <w:spacing w:after="80" w:before="80"/>
      </w:pPr>
      <w:r>
        <w:rPr>
          <w:rFonts w:ascii="Arial" w:cs="Arial" w:eastAsia="Arial" w:hAnsi="Arial"/>
          <w:color w:val="1A1A1A"/>
          <w:sz w:val="22"/>
          <w:szCs w:val="22"/>
        </w:rPr>
        <w:t xml:space="preserve">The treasurer will provide a financial report at each board meeting, including account balances, income, and expenses since the prior meeting. Annual financial statements will be reviewed by the full board.</w:t>
      </w:r>
    </w:p>
    <w:p>
      <w:pPr>
        <w:spacing w:after="0" w:before="0"/>
      </w:pPr>
      <w:r>
        <w:t xml:space="preserve"/>
      </w:r>
    </w:p>
    <w:p>
      <w:pPr>
        <w:pStyle w:val="Heading1"/>
        <w:pBdr>
          <w:bottom w:val="single" w:color="2E5C8E" w:sz="8" w:space="6"/>
        </w:pBdr>
        <w:spacing w:after="120" w:before="400"/>
      </w:pPr>
      <w:r>
        <w:rPr>
          <w:rFonts w:ascii="Arial" w:cs="Arial" w:eastAsia="Arial" w:hAnsi="Arial"/>
          <w:b/>
          <w:bCs/>
          <w:color w:val="2E5C8E"/>
          <w:sz w:val="28"/>
          <w:szCs w:val="28"/>
        </w:rPr>
        <w:t xml:space="preserve">10. Communications and Public Representation</w:t>
      </w:r>
    </w:p>
    <w:p>
      <w:pPr>
        <w:pStyle w:val="Heading2"/>
        <w:spacing w:after="80" w:before="280"/>
      </w:pPr>
      <w:r>
        <w:rPr>
          <w:rFonts w:ascii="Arial" w:cs="Arial" w:eastAsia="Arial" w:hAnsi="Arial"/>
          <w:b/>
          <w:bCs/>
          <w:color w:val="1A1A1A"/>
          <w:sz w:val="24"/>
          <w:szCs w:val="24"/>
        </w:rPr>
        <w:t xml:space="preserve">8.1 Official Spokespersons</w:t>
      </w:r>
    </w:p>
    <w:p>
      <w:pPr>
        <w:spacing w:after="80" w:before="80"/>
      </w:pPr>
      <w:r>
        <w:rPr>
          <w:rFonts w:ascii="Arial" w:cs="Arial" w:eastAsia="Arial" w:hAnsi="Arial"/>
          <w:color w:val="1A1A1A"/>
          <w:sz w:val="22"/>
          <w:szCs w:val="22"/>
        </w:rPr>
        <w:t xml:space="preserve">The board president serves as the primary spokesperson for the foundation in all external communications. Committee chairs may communicate on behalf of their committee with external parties in an exploratory capacity but may not make public statements or commitments on behalf of the foundation without board authorization.</w:t>
      </w:r>
    </w:p>
    <w:p>
      <w:pPr>
        <w:pStyle w:val="Heading2"/>
        <w:spacing w:after="80" w:before="280"/>
      </w:pPr>
      <w:r>
        <w:rPr>
          <w:rFonts w:ascii="Arial" w:cs="Arial" w:eastAsia="Arial" w:hAnsi="Arial"/>
          <w:b/>
          <w:bCs/>
          <w:color w:val="1A1A1A"/>
          <w:sz w:val="24"/>
          <w:szCs w:val="24"/>
        </w:rPr>
        <w:t xml:space="preserve">11.2 Brand and Messaging Consistency</w:t>
      </w:r>
    </w:p>
    <w:p>
      <w:pPr>
        <w:spacing w:after="80" w:before="80"/>
      </w:pPr>
      <w:r>
        <w:rPr>
          <w:rFonts w:ascii="Arial" w:cs="Arial" w:eastAsia="Arial" w:hAnsi="Arial"/>
          <w:color w:val="1A1A1A"/>
          <w:sz w:val="22"/>
          <w:szCs w:val="22"/>
        </w:rPr>
        <w:t xml:space="preserve">All external communications must adhere to the Foundation's brand standards and approved messaging. Board members and committee chairs should coordinate with the board president before releasing any external-facing content that represents the Foundation.</w:t>
      </w:r>
    </w:p>
    <w:p>
      <w:pPr>
        <w:pStyle w:val="Heading2"/>
        <w:spacing w:after="80" w:before="280"/>
      </w:pPr>
      <w:r>
        <w:rPr>
          <w:rFonts w:ascii="Arial" w:cs="Arial" w:eastAsia="Arial" w:hAnsi="Arial"/>
          <w:b/>
          <w:bCs/>
          <w:color w:val="1A1A1A"/>
          <w:sz w:val="24"/>
          <w:szCs w:val="24"/>
        </w:rPr>
        <w:t xml:space="preserve">8.3 Social Media and Public Platforms</w:t>
      </w:r>
    </w:p>
    <w:p>
      <w:pPr>
        <w:spacing w:after="80" w:before="80"/>
      </w:pPr>
      <w:r>
        <w:rPr>
          <w:rFonts w:ascii="Arial" w:cs="Arial" w:eastAsia="Arial" w:hAnsi="Arial"/>
          <w:color w:val="1A1A1A"/>
          <w:sz w:val="22"/>
          <w:szCs w:val="22"/>
        </w:rPr>
        <w:t xml:space="preserve">Only authorized individuals may post to the foundation's official social media accounts, website, or other public platforms. Personal posts that reference or represent the foundation should be consistent with board-approved messaging.</w:t>
      </w:r>
    </w:p>
    <w:p>
      <w:pPr>
        <w:spacing w:after="0" w:before="0"/>
      </w:pPr>
      <w:r>
        <w:t xml:space="preserve"/>
      </w:r>
    </w:p>
    <w:p>
      <w:pPr>
        <w:pStyle w:val="Heading1"/>
        <w:pBdr>
          <w:bottom w:val="single" w:color="2E5C8E" w:sz="8" w:space="6"/>
        </w:pBdr>
        <w:spacing w:after="120" w:before="400"/>
      </w:pPr>
      <w:r>
        <w:rPr>
          <w:rFonts w:ascii="Arial" w:cs="Arial" w:eastAsia="Arial" w:hAnsi="Arial"/>
          <w:b/>
          <w:bCs/>
          <w:color w:val="2E5C8E"/>
          <w:sz w:val="28"/>
          <w:szCs w:val="28"/>
        </w:rPr>
        <w:t xml:space="preserve">11. Records and Documentation</w:t>
      </w:r>
    </w:p>
    <w:p>
      <w:pPr>
        <w:pStyle w:val="Heading2"/>
        <w:spacing w:after="80" w:before="280"/>
      </w:pPr>
      <w:r>
        <w:rPr>
          <w:rFonts w:ascii="Arial" w:cs="Arial" w:eastAsia="Arial" w:hAnsi="Arial"/>
          <w:b/>
          <w:bCs/>
          <w:color w:val="1A1A1A"/>
          <w:sz w:val="24"/>
          <w:szCs w:val="24"/>
        </w:rPr>
        <w:t xml:space="preserve">12.1 Board Portal</w:t>
      </w:r>
    </w:p>
    <w:p>
      <w:pPr>
        <w:spacing w:after="80" w:before="80"/>
      </w:pPr>
      <w:r>
        <w:rPr>
          <w:rFonts w:ascii="Arial" w:cs="Arial" w:eastAsia="Arial" w:hAnsi="Arial"/>
          <w:color w:val="1A1A1A"/>
          <w:sz w:val="22"/>
          <w:szCs w:val="22"/>
        </w:rPr>
        <w:t xml:space="preserve">The foundation maintains an internal board portal that serves as the central repository for governance documents, meeting minutes, financial records, committee reports, and the contact log. All board members are expected to use the portal or email for official Foundation communications and documentation.</w:t>
      </w:r>
    </w:p>
    <w:p>
      <w:pPr>
        <w:pStyle w:val="Heading2"/>
        <w:spacing w:after="80" w:before="280"/>
      </w:pPr>
      <w:r>
        <w:rPr>
          <w:rFonts w:ascii="Arial" w:cs="Arial" w:eastAsia="Arial" w:hAnsi="Arial"/>
          <w:b/>
          <w:bCs/>
          <w:color w:val="1A1A1A"/>
          <w:sz w:val="24"/>
          <w:szCs w:val="24"/>
        </w:rPr>
        <w:t xml:space="preserve">12.2 Contact Log</w:t>
      </w:r>
    </w:p>
    <w:p>
      <w:pPr>
        <w:spacing w:after="80" w:before="80"/>
      </w:pPr>
      <w:r>
        <w:rPr>
          <w:rFonts w:ascii="Arial" w:cs="Arial" w:eastAsia="Arial" w:hAnsi="Arial"/>
          <w:color w:val="1A1A1A"/>
          <w:sz w:val="22"/>
          <w:szCs w:val="22"/>
        </w:rPr>
        <w:t xml:space="preserve">Any board member or committee chair who has a substantive conversation with an external party on behalf of the foundation must log the contact in the board portal within a reasonable time. The log entry should include the date, contact name and organization, nature of the discussion, and any action items or follow-up required.</w:t>
      </w:r>
    </w:p>
    <w:p>
      <w:pPr>
        <w:pStyle w:val="Heading2"/>
        <w:spacing w:after="80" w:before="280"/>
      </w:pPr>
      <w:r>
        <w:rPr>
          <w:rFonts w:ascii="Arial" w:cs="Arial" w:eastAsia="Arial" w:hAnsi="Arial"/>
          <w:b/>
          <w:bCs/>
          <w:color w:val="1A1A1A"/>
          <w:sz w:val="24"/>
          <w:szCs w:val="24"/>
        </w:rPr>
        <w:t xml:space="preserve">12.3 Document Retention</w:t>
      </w:r>
    </w:p>
    <w:p>
      <w:pPr>
        <w:spacing w:after="80" w:before="80"/>
      </w:pPr>
      <w:r>
        <w:rPr>
          <w:rFonts w:ascii="Arial" w:cs="Arial" w:eastAsia="Arial" w:hAnsi="Arial"/>
          <w:color w:val="1A1A1A"/>
          <w:sz w:val="22"/>
          <w:szCs w:val="22"/>
        </w:rPr>
        <w:t xml:space="preserve">The foundation will retain governance documents, financial records, meeting minutes, and other official records in accordance with applicable law and best practices for nonprofit organizations.</w:t>
      </w:r>
    </w:p>
    <w:p>
      <w:pPr>
        <w:spacing w:after="0" w:before="0"/>
      </w:pPr>
      <w:r>
        <w:t xml:space="preserve"/>
      </w:r>
    </w:p>
    <w:p>
      <w:pPr>
        <w:pStyle w:val="Heading1"/>
        <w:pBdr>
          <w:bottom w:val="single" w:color="2E5C8E" w:sz="8" w:space="6"/>
        </w:pBdr>
        <w:spacing w:after="120" w:before="400"/>
      </w:pPr>
      <w:r>
        <w:rPr>
          <w:rFonts w:ascii="Arial" w:cs="Arial" w:eastAsia="Arial" w:hAnsi="Arial"/>
          <w:b/>
          <w:bCs/>
          <w:color w:val="2E5C8E"/>
          <w:sz w:val="28"/>
          <w:szCs w:val="28"/>
        </w:rPr>
        <w:t xml:space="preserve">14. Amendments and Policy Review</w:t>
      </w:r>
    </w:p>
    <w:p>
      <w:pPr>
        <w:spacing w:after="80" w:before="80"/>
      </w:pPr>
      <w:r>
        <w:rPr>
          <w:rFonts w:ascii="Arial" w:cs="Arial" w:eastAsia="Arial" w:hAnsi="Arial"/>
          <w:color w:val="1A1A1A"/>
          <w:sz w:val="22"/>
          <w:szCs w:val="22"/>
        </w:rPr>
        <w:t xml:space="preserve">These board policies may be amended by a majority vote of the board at any duly noticed meeting, provided that notice of the proposed amendment and its text were distributed to all board members at least seven days in advance. Policies may also be amended by written consent. Amended policies are effective upon adoption and the board portal will be updated to reflect the current version.</w:t>
      </w:r>
    </w:p>
    <w:p>
      <w:pPr>
        <w:spacing w:after="0" w:before="0"/>
      </w:pPr>
      <w:r>
        <w:t xml:space="preserve"/>
      </w:r>
    </w:p>
    <w:p>
      <w:pPr>
        <w:spacing w:after="0" w:before="0"/>
      </w:pPr>
      <w:r>
        <w:t xml:space="preserve"/>
      </w:r>
    </w:p>
    <w:p>
      <w:pPr>
        <w:pBdr>
          <w:top w:val="single" w:color="2E5C8E" w:sz="6" w:space="8"/>
        </w:pBdr>
        <w:spacing w:after="80" w:before="200"/>
      </w:pPr>
      <w:r>
        <w:rPr>
          <w:rFonts w:ascii="Arial" w:cs="Arial" w:eastAsia="Arial" w:hAnsi="Arial"/>
          <w:i/>
          <w:iCs/>
          <w:color w:val="555555"/>
          <w:sz w:val="20"/>
          <w:szCs w:val="20"/>
        </w:rPr>
        <w:t xml:space="preserve">Proposed for adoption by the Board of Directors of the SETD5 Syndrome Foundation at the meeting of April 29,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8E" w:sz="6" w:space="8"/>
      </w:pBdr>
      <w:tabs>
        <w:tab w:val="right" w:pos="9026"/>
      </w:tabs>
    </w:pPr>
    <w:r>
      <w:rPr>
        <w:rFonts w:ascii="Arial" w:cs="Arial" w:eastAsia="Arial" w:hAnsi="Arial"/>
        <w:color w:val="555555"/>
        <w:sz w:val="18"/>
        <w:szCs w:val="18"/>
      </w:rPr>
      <w:t xml:space="preserve">Draft for Adoption — April 29, 2026</w:t>
    </w:r>
    <w:r>
      <w:rPr>
        <w:rFonts w:ascii="Arial" w:cs="Arial" w:eastAsia="Arial" w:hAnsi="Arial"/>
        <w:sz w:val="18"/>
        <w:szCs w:val="18"/>
      </w:rPr>
      <w:tab/>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E" w:sz="6" w:space="8"/>
      </w:pBdr>
    </w:pPr>
    <w:r>
      <w:rPr>
        <w:rFonts w:ascii="Arial" w:cs="Arial" w:eastAsia="Arial" w:hAnsi="Arial"/>
        <w:color w:val="555555"/>
        <w:sz w:val="18"/>
        <w:szCs w:val="18"/>
      </w:rPr>
      <w:t xml:space="preserve">SETD5 Syndrome Foundation  |  Board Policies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E5C8E"/>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2026-04-23T01:43:34.361Z</dcterms:created>
  <dcterms:modified xsi:type="dcterms:W3CDTF">2026-04-23T01:43:34.388Z</dcterms:modified>
</cp:coreProperties>
</file>

<file path=docProps/custom.xml><?xml version="1.0" encoding="utf-8"?>
<Properties xmlns="http://schemas.openxmlformats.org/officeDocument/2006/custom-properties" xmlns:vt="http://schemas.openxmlformats.org/officeDocument/2006/docPropsVTypes"/>
</file>