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esidential-lease-agreement"/>
    <w:p>
      <w:pPr>
        <w:pStyle w:val="Heading1"/>
      </w:pPr>
      <w:r>
        <w:t xml:space="preserve">RESIDENTIAL LEASE AGREEMENT</w:t>
      </w:r>
    </w:p>
    <w:p>
      <w:pPr>
        <w:pStyle w:val="FirstParagraph"/>
      </w:pPr>
      <w:r>
        <w:t xml:space="preserve">44724 Big Meadows Rd, Proctor, Montana 59929</w:t>
      </w:r>
    </w:p>
    <w:p>
      <w:pPr>
        <w:pStyle w:val="BodyText"/>
      </w:pPr>
      <w:r>
        <w:t xml:space="preserve">This Residential Lease Agreement (</w:t>
      </w:r>
      <w:r>
        <w:t xml:space="preserve">“</w:t>
      </w:r>
      <w:r>
        <w:t xml:space="preserve">Agreement</w:t>
      </w:r>
      <w:r>
        <w:t xml:space="preserve">”</w:t>
      </w:r>
      <w:r>
        <w:t xml:space="preserve">) is entered into as of ____________, 2026, by and between:</w:t>
      </w:r>
    </w:p>
    <w:p>
      <w:pPr>
        <w:numPr>
          <w:ilvl w:val="0"/>
          <w:numId w:val="1001"/>
        </w:numPr>
        <w:pStyle w:val="Compact"/>
      </w:pPr>
      <w:r>
        <w:rPr>
          <w:bCs/>
          <w:b/>
        </w:rPr>
        <w:t xml:space="preserve">Landlord:</w:t>
      </w:r>
      <w:r>
        <w:t xml:space="preserve"> </w:t>
      </w:r>
      <w:r>
        <w:t xml:space="preserve">Michael Kyle Chandler (</w:t>
      </w:r>
      <w:r>
        <w:t xml:space="preserve">“</w:t>
      </w:r>
      <w:r>
        <w:t xml:space="preserve">Landlord</w:t>
      </w:r>
      <w:r>
        <w:t xml:space="preserve">”</w:t>
      </w:r>
      <w:r>
        <w:t xml:space="preserve">)</w:t>
      </w:r>
      <w:r>
        <w:br/>
      </w:r>
    </w:p>
    <w:p>
      <w:pPr>
        <w:numPr>
          <w:ilvl w:val="0"/>
          <w:numId w:val="1001"/>
        </w:numPr>
        <w:pStyle w:val="Compact"/>
      </w:pPr>
      <w:r>
        <w:rPr>
          <w:bCs/>
          <w:b/>
        </w:rPr>
        <w:t xml:space="preserve">Tenants:</w:t>
      </w:r>
      <w:r>
        <w:t xml:space="preserve"> </w:t>
      </w:r>
      <w:r>
        <w:t xml:space="preserve">Malcom Smith and Angie Smith (collectively,</w:t>
      </w:r>
      <w:r>
        <w:t xml:space="preserve"> </w:t>
      </w:r>
      <w:r>
        <w:t xml:space="preserve">“</w:t>
      </w:r>
      <w:r>
        <w:t xml:space="preserve">Tenant</w:t>
      </w:r>
      <w:r>
        <w:t xml:space="preserve">”</w:t>
      </w:r>
      <w:r>
        <w:t xml:space="preserve"> </w:t>
      </w:r>
      <w:r>
        <w:t xml:space="preserve">or</w:t>
      </w:r>
      <w:r>
        <w:t xml:space="preserve"> </w:t>
      </w:r>
      <w:r>
        <w:t xml:space="preserve">“</w:t>
      </w:r>
      <w:r>
        <w:t xml:space="preserve">Tenants</w:t>
      </w:r>
      <w:r>
        <w:t xml:space="preserve">”</w:t>
      </w:r>
      <w:r>
        <w:t xml:space="preserve">)</w:t>
      </w:r>
    </w:p>
    <w:p>
      <w:pPr>
        <w:pStyle w:val="FirstParagraph"/>
      </w:pPr>
      <w:r>
        <w:t xml:space="preserve">Landlord and Tenants are sometimes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2" w:name="X401b0d94294cd920e944c619d68b4ebb4290b04"/>
    <w:p>
      <w:pPr>
        <w:pStyle w:val="Heading2"/>
      </w:pPr>
      <w:r>
        <w:t xml:space="preserve">1. Premises; Use; Occupancy; Required Disclosures</w:t>
      </w:r>
    </w:p>
    <w:p>
      <w:pPr>
        <w:pStyle w:val="FirstParagraph"/>
      </w:pPr>
      <w:r>
        <w:t xml:space="preserve">1.1</w:t>
      </w:r>
      <w:r>
        <w:t xml:space="preserve"> </w:t>
      </w:r>
      <w:r>
        <w:rPr>
          <w:bCs/>
          <w:b/>
        </w:rPr>
        <w:t xml:space="preserve">Premises.</w:t>
      </w:r>
      <w:r>
        <w:t xml:space="preserve"> </w:t>
      </w:r>
      <w:r>
        <w:t xml:space="preserve">Landlord leases to Tenants the single‑family dwelling located at</w:t>
      </w:r>
      <w:r>
        <w:t xml:space="preserve"> </w:t>
      </w:r>
      <w:r>
        <w:rPr>
          <w:bCs/>
          <w:b/>
        </w:rPr>
        <w:t xml:space="preserve">44724 Big Meadows Rd, Proctor, Montana 59929</w:t>
      </w:r>
      <w:r>
        <w:t xml:space="preserve">, consisting of a 3 bedroom, 2 bath home (the</w:t>
      </w:r>
      <w:r>
        <w:t xml:space="preserve"> </w:t>
      </w:r>
      <w:r>
        <w:t xml:space="preserve">“</w:t>
      </w:r>
      <w:r>
        <w:t xml:space="preserve">Premises</w:t>
      </w:r>
      <w:r>
        <w:t xml:space="preserve">”</w:t>
      </w:r>
      <w:r>
        <w:t xml:space="preserve">).</w:t>
      </w:r>
    </w:p>
    <w:p>
      <w:pPr>
        <w:pStyle w:val="BodyText"/>
      </w:pPr>
      <w:r>
        <w:t xml:space="preserve">1.2</w:t>
      </w:r>
      <w:r>
        <w:t xml:space="preserve"> </w:t>
      </w:r>
      <w:r>
        <w:rPr>
          <w:bCs/>
          <w:b/>
        </w:rPr>
        <w:t xml:space="preserve">Outbuildings Excluded.</w:t>
      </w:r>
      <w:r>
        <w:t xml:space="preserve"> </w:t>
      </w:r>
      <w:r>
        <w:t xml:space="preserve">Any barn, shop, or other outbuildings on the property are</w:t>
      </w:r>
      <w:r>
        <w:t xml:space="preserve"> </w:t>
      </w:r>
      <w:r>
        <w:rPr>
          <w:bCs/>
          <w:b/>
        </w:rPr>
        <w:t xml:space="preserve">excluded</w:t>
      </w:r>
      <w:r>
        <w:t xml:space="preserve"> </w:t>
      </w:r>
      <w:r>
        <w:t xml:space="preserve">from this Lease and remain in Landlord’s sole possession and control; Tenants shall not use, enter, or store property in such structures.</w:t>
      </w:r>
    </w:p>
    <w:p>
      <w:pPr>
        <w:pStyle w:val="BodyText"/>
      </w:pPr>
      <w:r>
        <w:t xml:space="preserve">1.3</w:t>
      </w:r>
      <w:r>
        <w:t xml:space="preserve"> </w:t>
      </w:r>
      <w:r>
        <w:rPr>
          <w:bCs/>
          <w:b/>
        </w:rPr>
        <w:t xml:space="preserve">Use.</w:t>
      </w:r>
      <w:r>
        <w:t xml:space="preserve"> </w:t>
      </w:r>
      <w:r>
        <w:t xml:space="preserve">The Premises shall be used solely as a private residence and for no business or commercial purposes, except with Landlord’s prior written consent.</w:t>
      </w:r>
    </w:p>
    <w:p>
      <w:pPr>
        <w:pStyle w:val="BodyText"/>
      </w:pPr>
      <w:r>
        <w:t xml:space="preserve">1.4</w:t>
      </w:r>
      <w:r>
        <w:t xml:space="preserve"> </w:t>
      </w:r>
      <w:r>
        <w:rPr>
          <w:bCs/>
          <w:b/>
        </w:rPr>
        <w:t xml:space="preserve">Occupancy Limit.</w:t>
      </w:r>
      <w:r>
        <w:t xml:space="preserve"> </w:t>
      </w:r>
      <w:r>
        <w:t xml:space="preserve">Occupancy is limited to</w:t>
      </w:r>
      <w:r>
        <w:t xml:space="preserve"> </w:t>
      </w:r>
      <w:r>
        <w:rPr>
          <w:bCs/>
          <w:b/>
        </w:rPr>
        <w:t xml:space="preserve">Malcom Smith and Angie Smith and their minor children only</w:t>
      </w:r>
      <w:r>
        <w:t xml:space="preserve">. Overnight guests are permitted for up to 14 cumulative days in any 6‑month period unless Landlord provides prior written consent to longer stays.</w:t>
      </w:r>
    </w:p>
    <w:p>
      <w:pPr>
        <w:pStyle w:val="BodyText"/>
      </w:pPr>
      <w:r>
        <w:t xml:space="preserve">1.5</w:t>
      </w:r>
      <w:r>
        <w:t xml:space="preserve"> </w:t>
      </w:r>
      <w:r>
        <w:rPr>
          <w:bCs/>
          <w:b/>
        </w:rPr>
        <w:t xml:space="preserve">Compliance With Law.</w:t>
      </w:r>
      <w:r>
        <w:t xml:space="preserve"> </w:t>
      </w:r>
      <w:r>
        <w:t xml:space="preserve">Tenants shall comply with all applicable federal, state, and local laws, including the Montana Residential Landlord and Tenant Act, MCA Title 70, Chapter 24 (</w:t>
      </w:r>
      <w:hyperlink r:id="rId20">
        <w:r>
          <w:rPr>
            <w:rStyle w:val="Hyperlink"/>
          </w:rPr>
          <w:t xml:space="preserve">MCA Title 70, Chapter 24 – Table of Contents</w:t>
        </w:r>
      </w:hyperlink>
      <w:r>
        <w:t xml:space="preserve">).</w:t>
      </w:r>
    </w:p>
    <w:p>
      <w:pPr>
        <w:pStyle w:val="BodyText"/>
      </w:pPr>
      <w:r>
        <w:t xml:space="preserve">1.6</w:t>
      </w:r>
      <w:r>
        <w:t xml:space="preserve"> </w:t>
      </w:r>
      <w:r>
        <w:rPr>
          <w:bCs/>
          <w:b/>
        </w:rPr>
        <w:t xml:space="preserve">Disclosure of Responsible Persons.</w:t>
      </w:r>
      <w:r>
        <w:t xml:space="preserve"> </w:t>
      </w:r>
      <w:r>
        <w:t xml:space="preserve">At or before the commencement of the tenancy, Landlord discloses the following pursuant to</w:t>
      </w:r>
      <w:r>
        <w:t xml:space="preserve"> </w:t>
      </w:r>
      <w:hyperlink r:id="rId21">
        <w:r>
          <w:rPr>
            <w:rStyle w:val="Hyperlink"/>
          </w:rPr>
          <w:t xml:space="preserve">MCA § 70‑24‑301</w:t>
        </w:r>
      </w:hyperlink>
      <w:r>
        <w:t xml:space="preserve">:</w:t>
      </w:r>
      <w:r>
        <w:br/>
      </w:r>
      <w:r>
        <w:t xml:space="preserve">-</w:t>
      </w:r>
      <w:r>
        <w:t xml:space="preserve"> </w:t>
      </w:r>
      <w:r>
        <w:rPr>
          <w:bCs/>
          <w:b/>
        </w:rPr>
        <w:t xml:space="preserve">Person authorized to manage the Premises:</w:t>
      </w:r>
      <w:r>
        <w:br/>
      </w:r>
      <w:r>
        <w:t xml:space="preserve">Name: Michael Kyle Chandler</w:t>
      </w:r>
      <w:r>
        <w:br/>
      </w:r>
      <w:r>
        <w:t xml:space="preserve">Address: __________________________________________</w:t>
      </w:r>
      <w:r>
        <w:br/>
      </w:r>
      <w:r>
        <w:t xml:space="preserve">-</w:t>
      </w:r>
      <w:r>
        <w:t xml:space="preserve"> </w:t>
      </w:r>
      <w:r>
        <w:rPr>
          <w:bCs/>
          <w:b/>
        </w:rPr>
        <w:t xml:space="preserve">Owner or person authorized for service of process and notices:</w:t>
      </w:r>
      <w:r>
        <w:br/>
      </w:r>
      <w:r>
        <w:t xml:space="preserve">Name: Michael Kyle Chandler</w:t>
      </w:r>
      <w:r>
        <w:br/>
      </w:r>
      <w:r>
        <w:t xml:space="preserve">Address: __________________________________________</w:t>
      </w:r>
    </w:p>
    <w:p>
      <w:r>
        <w:pict>
          <v:rect style="width:0;height:1.5pt" o:hralign="center" o:hrstd="t" o:hr="t"/>
        </w:pict>
      </w:r>
    </w:p>
    <w:bookmarkEnd w:id="22"/>
    <w:bookmarkStart w:id="24" w:name="term-renewal-assignment"/>
    <w:p>
      <w:pPr>
        <w:pStyle w:val="Heading2"/>
      </w:pPr>
      <w:r>
        <w:t xml:space="preserve">2. Term; Renewal; Assignment</w:t>
      </w:r>
    </w:p>
    <w:p>
      <w:pPr>
        <w:pStyle w:val="FirstParagraph"/>
      </w:pPr>
      <w:r>
        <w:t xml:space="preserve">2.1</w:t>
      </w:r>
      <w:r>
        <w:t xml:space="preserve"> </w:t>
      </w:r>
      <w:r>
        <w:rPr>
          <w:bCs/>
          <w:b/>
        </w:rPr>
        <w:t xml:space="preserve">Term.</w:t>
      </w:r>
      <w:r>
        <w:t xml:space="preserve"> </w:t>
      </w:r>
      <w:r>
        <w:t xml:space="preserve">The initial fixed term (</w:t>
      </w:r>
      <w:r>
        <w:t xml:space="preserve">“</w:t>
      </w:r>
      <w:r>
        <w:t xml:space="preserve">Initial Term</w:t>
      </w:r>
      <w:r>
        <w:t xml:space="preserve">”</w:t>
      </w:r>
      <w:r>
        <w:t xml:space="preserve">) begins on</w:t>
      </w:r>
      <w:r>
        <w:t xml:space="preserve"> </w:t>
      </w:r>
      <w:r>
        <w:rPr>
          <w:bCs/>
          <w:b/>
        </w:rPr>
        <w:t xml:space="preserve">February 1, 2026</w:t>
      </w:r>
      <w:r>
        <w:t xml:space="preserve"> </w:t>
      </w:r>
      <w:r>
        <w:t xml:space="preserve">and ends on</w:t>
      </w:r>
      <w:r>
        <w:t xml:space="preserve"> </w:t>
      </w:r>
      <w:r>
        <w:rPr>
          <w:bCs/>
          <w:b/>
        </w:rPr>
        <w:t xml:space="preserve">July 31, 2026</w:t>
      </w:r>
      <w:r>
        <w:t xml:space="preserve">.</w:t>
      </w:r>
    </w:p>
    <w:p>
      <w:pPr>
        <w:pStyle w:val="BodyText"/>
      </w:pPr>
      <w:r>
        <w:t xml:space="preserve">2.2</w:t>
      </w:r>
      <w:r>
        <w:t xml:space="preserve"> </w:t>
      </w:r>
      <w:r>
        <w:rPr>
          <w:bCs/>
          <w:b/>
        </w:rPr>
        <w:t xml:space="preserve">Renewal Option.</w:t>
      </w:r>
      <w:r>
        <w:t xml:space="preserve"> </w:t>
      </w:r>
      <w:r>
        <w:t xml:space="preserve">If Tenants are not in default, this Lease may be renewed for successive</w:t>
      </w:r>
      <w:r>
        <w:t xml:space="preserve"> </w:t>
      </w:r>
      <w:r>
        <w:rPr>
          <w:bCs/>
          <w:b/>
        </w:rPr>
        <w:t xml:space="preserve">6‑month terms</w:t>
      </w:r>
      <w:r>
        <w:t xml:space="preserve"> </w:t>
      </w:r>
      <w:r>
        <w:t xml:space="preserve">upon mutual written agreement of the Parties at least 30 days before the end of the then‑current term. If the Parties do not sign a renewal but Tenants hold over with Landlord’s consent and acceptance of rent, the tenancy converts to month‑to‑month under the same terms except as modified by law, consistent with</w:t>
      </w:r>
      <w:r>
        <w:t xml:space="preserve"> </w:t>
      </w:r>
      <w:hyperlink r:id="rId23">
        <w:r>
          <w:rPr>
            <w:rStyle w:val="Hyperlink"/>
          </w:rPr>
          <w:t xml:space="preserve">MCA § 70‑24‑201</w:t>
        </w:r>
      </w:hyperlink>
      <w:r>
        <w:t xml:space="preserve">.</w:t>
      </w:r>
    </w:p>
    <w:p>
      <w:pPr>
        <w:pStyle w:val="BodyText"/>
      </w:pPr>
      <w:r>
        <w:t xml:space="preserve">2.3</w:t>
      </w:r>
      <w:r>
        <w:t xml:space="preserve"> </w:t>
      </w:r>
      <w:r>
        <w:rPr>
          <w:bCs/>
          <w:b/>
        </w:rPr>
        <w:t xml:space="preserve">Early Termination.</w:t>
      </w:r>
      <w:r>
        <w:t xml:space="preserve"> </w:t>
      </w:r>
      <w:r>
        <w:t xml:space="preserve">Early termination rights and remedies shall be as provided by this Agreement and applicable Montana law, including</w:t>
      </w:r>
      <w:r>
        <w:t xml:space="preserve"> </w:t>
      </w:r>
      <w:hyperlink r:id="rId23">
        <w:r>
          <w:rPr>
            <w:rStyle w:val="Hyperlink"/>
          </w:rPr>
          <w:t xml:space="preserve">MCA § 70‑24‑201(2)(f)</w:t>
        </w:r>
      </w:hyperlink>
      <w:r>
        <w:t xml:space="preserve"> </w:t>
      </w:r>
      <w:r>
        <w:t xml:space="preserve">regarding damages for early termination without cause.</w:t>
      </w:r>
    </w:p>
    <w:p>
      <w:pPr>
        <w:pStyle w:val="BodyText"/>
      </w:pPr>
      <w:r>
        <w:t xml:space="preserve">2.4</w:t>
      </w:r>
      <w:r>
        <w:t xml:space="preserve"> </w:t>
      </w:r>
      <w:r>
        <w:rPr>
          <w:bCs/>
          <w:b/>
        </w:rPr>
        <w:t xml:space="preserve">Assignment and Subletting.</w:t>
      </w:r>
      <w:r>
        <w:t xml:space="preserve"> </w:t>
      </w:r>
      <w:r>
        <w:t xml:space="preserve">Tenants may not assign this Lease or sublet any part of the Premises without Landlord’s prior written consent. Any unauthorized assignment or sublease is a material breach of this Lease.</w:t>
      </w:r>
    </w:p>
    <w:p>
      <w:pPr>
        <w:pStyle w:val="BodyText"/>
      </w:pPr>
      <w:r>
        <w:t xml:space="preserve">2.5</w:t>
      </w:r>
      <w:r>
        <w:t xml:space="preserve"> </w:t>
      </w:r>
      <w:r>
        <w:rPr>
          <w:bCs/>
          <w:b/>
        </w:rPr>
        <w:t xml:space="preserve">Joint and Several Liability.</w:t>
      </w:r>
      <w:r>
        <w:t xml:space="preserve"> </w:t>
      </w:r>
      <w:r>
        <w:t xml:space="preserve">All Tenants are jointly and severally liable for all obligations under this Lease, including payment of rent, fees, and damages.</w:t>
      </w:r>
    </w:p>
    <w:p>
      <w:r>
        <w:pict>
          <v:rect style="width:0;height:1.5pt" o:hralign="center" o:hrstd="t" o:hr="t"/>
        </w:pict>
      </w:r>
    </w:p>
    <w:bookmarkEnd w:id="24"/>
    <w:bookmarkStart w:id="31" w:name="rent-fees-security-deposit-no-offset"/>
    <w:p>
      <w:pPr>
        <w:pStyle w:val="Heading2"/>
      </w:pPr>
      <w:r>
        <w:t xml:space="preserve">3. Rent; Fees; Security Deposit; No Offset</w:t>
      </w:r>
    </w:p>
    <w:p>
      <w:pPr>
        <w:pStyle w:val="FirstParagraph"/>
      </w:pPr>
      <w:r>
        <w:t xml:space="preserve">3.1</w:t>
      </w:r>
      <w:r>
        <w:t xml:space="preserve"> </w:t>
      </w:r>
      <w:r>
        <w:rPr>
          <w:bCs/>
          <w:b/>
        </w:rPr>
        <w:t xml:space="preserve">Rent Amount.</w:t>
      </w:r>
      <w:r>
        <w:t xml:space="preserve"> </w:t>
      </w:r>
      <w:r>
        <w:t xml:space="preserve">Tenants shall pay Landlord monthly rent of</w:t>
      </w:r>
      <w:r>
        <w:t xml:space="preserve"> </w:t>
      </w:r>
      <w:r>
        <w:rPr>
          <w:bCs/>
          <w:b/>
        </w:rPr>
        <w:t xml:space="preserve">One Thousand Four Hundred Dollars ($1,400.00)</w:t>
      </w:r>
      <w:r>
        <w:t xml:space="preserve">.</w:t>
      </w:r>
    </w:p>
    <w:p>
      <w:pPr>
        <w:pStyle w:val="BodyText"/>
      </w:pPr>
      <w:r>
        <w:t xml:space="preserve">3.2</w:t>
      </w:r>
      <w:r>
        <w:t xml:space="preserve"> </w:t>
      </w:r>
      <w:r>
        <w:rPr>
          <w:bCs/>
          <w:b/>
        </w:rPr>
        <w:t xml:space="preserve">Due Date; Method.</w:t>
      </w:r>
      <w:r>
        <w:t xml:space="preserve"> </w:t>
      </w:r>
      <w:r>
        <w:t xml:space="preserve">Rent is due and payable</w:t>
      </w:r>
      <w:r>
        <w:t xml:space="preserve"> </w:t>
      </w:r>
      <w:r>
        <w:rPr>
          <w:bCs/>
          <w:b/>
        </w:rPr>
        <w:t xml:space="preserve">in advance on the first (1st) day of each month</w:t>
      </w:r>
      <w:r>
        <w:t xml:space="preserve"> </w:t>
      </w:r>
      <w:r>
        <w:t xml:space="preserve">without demand, at the address or account designated by Landlord, as allowed by</w:t>
      </w:r>
      <w:r>
        <w:t xml:space="preserve"> </w:t>
      </w:r>
      <w:hyperlink r:id="rId23">
        <w:r>
          <w:rPr>
            <w:rStyle w:val="Hyperlink"/>
          </w:rPr>
          <w:t xml:space="preserve">MCA § 70‑24‑201(2)(b)–(c)</w:t>
        </w:r>
      </w:hyperlink>
      <w:r>
        <w:t xml:space="preserve">. If the Initial Term begins on a date other than the 1st, the first payment may be prorated as agreed in writing.</w:t>
      </w:r>
    </w:p>
    <w:p>
      <w:pPr>
        <w:pStyle w:val="BodyText"/>
      </w:pPr>
      <w:r>
        <w:t xml:space="preserve">3.3</w:t>
      </w:r>
      <w:r>
        <w:t xml:space="preserve"> </w:t>
      </w:r>
      <w:r>
        <w:rPr>
          <w:bCs/>
          <w:b/>
        </w:rPr>
        <w:t xml:space="preserve">Late Fees.</w:t>
      </w:r>
      <w:r>
        <w:t xml:space="preserve"> </w:t>
      </w:r>
      <w:r>
        <w:t xml:space="preserve">If rent is not received by the 5th calendar day of the month:</w:t>
      </w:r>
      <w:r>
        <w:br/>
      </w:r>
      <w:r>
        <w:t xml:space="preserve">-</w:t>
      </w:r>
      <w:r>
        <w:t xml:space="preserve"> </w:t>
      </w:r>
      <w:r>
        <w:rPr>
          <w:bCs/>
          <w:b/>
        </w:rPr>
        <w:t xml:space="preserve">First late month during the Lease Term:</w:t>
      </w:r>
      <w:r>
        <w:t xml:space="preserve"> </w:t>
      </w:r>
      <w:r>
        <w:t xml:space="preserve">No late fee.</w:t>
      </w:r>
      <w:r>
        <w:br/>
      </w:r>
      <w:r>
        <w:t xml:space="preserve">-</w:t>
      </w:r>
      <w:r>
        <w:t xml:space="preserve"> </w:t>
      </w:r>
      <w:r>
        <w:rPr>
          <w:bCs/>
          <w:b/>
        </w:rPr>
        <w:t xml:space="preserve">Second and each subsequent late month during the Lease Term:</w:t>
      </w:r>
      <w:r>
        <w:t xml:space="preserve"> </w:t>
      </w:r>
      <w:r>
        <w:t xml:space="preserve">A flat</w:t>
      </w:r>
      <w:r>
        <w:t xml:space="preserve"> </w:t>
      </w:r>
      <w:r>
        <w:rPr>
          <w:bCs/>
          <w:b/>
        </w:rPr>
        <w:t xml:space="preserve">late fee of Fifty Dollars ($50.00)</w:t>
      </w:r>
      <w:r>
        <w:t xml:space="preserve"> </w:t>
      </w:r>
      <w:r>
        <w:t xml:space="preserve">per month is assessed.</w:t>
      </w:r>
    </w:p>
    <w:p>
      <w:pPr>
        <w:pStyle w:val="BodyText"/>
      </w:pPr>
      <w:r>
        <w:t xml:space="preserve">3.4</w:t>
      </w:r>
      <w:r>
        <w:t xml:space="preserve"> </w:t>
      </w:r>
      <w:r>
        <w:rPr>
          <w:bCs/>
          <w:b/>
        </w:rPr>
        <w:t xml:space="preserve">Returned Payments.</w:t>
      </w:r>
      <w:r>
        <w:t xml:space="preserve"> </w:t>
      </w:r>
      <w:r>
        <w:t xml:space="preserve">Tenants shall pay a</w:t>
      </w:r>
      <w:r>
        <w:t xml:space="preserve"> </w:t>
      </w:r>
      <w:r>
        <w:rPr>
          <w:bCs/>
          <w:b/>
        </w:rPr>
        <w:t xml:space="preserve">returned payment fee of Thirty Dollars ($30.00) or the maximum service charge permitted by Montana law, whichever is less</w:t>
      </w:r>
      <w:r>
        <w:t xml:space="preserve">, for each check or electronic payment that is dishonored, plus any bank charges actually incurred, consistent with</w:t>
      </w:r>
      <w:r>
        <w:t xml:space="preserve"> </w:t>
      </w:r>
      <w:hyperlink r:id="rId25">
        <w:r>
          <w:rPr>
            <w:rStyle w:val="Hyperlink"/>
          </w:rPr>
          <w:t xml:space="preserve">MCA § 27‑1‑717(2)</w:t>
        </w:r>
      </w:hyperlink>
      <w:r>
        <w:t xml:space="preserve">.</w:t>
      </w:r>
    </w:p>
    <w:p>
      <w:pPr>
        <w:pStyle w:val="BodyText"/>
      </w:pPr>
      <w:r>
        <w:t xml:space="preserve">3.5</w:t>
      </w:r>
      <w:r>
        <w:t xml:space="preserve"> </w:t>
      </w:r>
      <w:r>
        <w:rPr>
          <w:bCs/>
          <w:b/>
        </w:rPr>
        <w:t xml:space="preserve">Security Deposit.</w:t>
      </w:r>
      <w:r>
        <w:br/>
      </w:r>
      <w:r>
        <w:t xml:space="preserve">- Amount:</w:t>
      </w:r>
      <w:r>
        <w:t xml:space="preserve"> </w:t>
      </w:r>
      <w:r>
        <w:rPr>
          <w:bCs/>
          <w:b/>
        </w:rPr>
        <w:t xml:space="preserve">One Thousand Four Hundred Dollars ($1,400.00)</w:t>
      </w:r>
      <w:r>
        <w:t xml:space="preserve"> </w:t>
      </w:r>
      <w:r>
        <w:t xml:space="preserve">(</w:t>
      </w:r>
      <w:r>
        <w:t xml:space="preserve">“</w:t>
      </w:r>
      <w:r>
        <w:t xml:space="preserve">Security Deposit</w:t>
      </w:r>
      <w:r>
        <w:t xml:space="preserve">”</w:t>
      </w:r>
      <w:r>
        <w:t xml:space="preserve">), equal to one month’s rent.</w:t>
      </w:r>
      <w:r>
        <w:br/>
      </w:r>
      <w:r>
        <w:t xml:space="preserve">- Landlord may withhold from the Security Deposit for unpaid rent, late fees, utilities owed under this Lease, cleaning beyond ordinary wear and tear, and damages as permitted by</w:t>
      </w:r>
      <w:r>
        <w:t xml:space="preserve"> </w:t>
      </w:r>
      <w:hyperlink r:id="rId26">
        <w:r>
          <w:rPr>
            <w:rStyle w:val="Hyperlink"/>
          </w:rPr>
          <w:t xml:space="preserve">MCA § 70‑25‑201</w:t>
        </w:r>
      </w:hyperlink>
      <w:r>
        <w:t xml:space="preserve">.</w:t>
      </w:r>
      <w:r>
        <w:br/>
      </w:r>
      <w:r>
        <w:t xml:space="preserve">- Landlord shall provide Tenants a written, itemized list of any deductions and refund the remaining Security Deposit within the time limits set by</w:t>
      </w:r>
      <w:r>
        <w:t xml:space="preserve"> </w:t>
      </w:r>
      <w:hyperlink r:id="rId27">
        <w:r>
          <w:rPr>
            <w:rStyle w:val="Hyperlink"/>
          </w:rPr>
          <w:t xml:space="preserve">MCA § 70‑25‑202</w:t>
        </w:r>
      </w:hyperlink>
      <w:r>
        <w:t xml:space="preserve"> </w:t>
      </w:r>
      <w:r>
        <w:t xml:space="preserve">(within 30 days, or 10 days if no deductions).</w:t>
      </w:r>
      <w:r>
        <w:br/>
      </w:r>
      <w:r>
        <w:t xml:space="preserve">- Landlord shall furnish a separate written statement of the condition of the Premises at move‑in as required by</w:t>
      </w:r>
      <w:r>
        <w:t xml:space="preserve"> </w:t>
      </w:r>
      <w:hyperlink r:id="rId28">
        <w:r>
          <w:rPr>
            <w:rStyle w:val="Hyperlink"/>
          </w:rPr>
          <w:t xml:space="preserve">MCA § 70‑25‑206</w:t>
        </w:r>
      </w:hyperlink>
      <w:r>
        <w:t xml:space="preserve">, which Tenants shall review, note any disagreements, and sign.</w:t>
      </w:r>
    </w:p>
    <w:p>
      <w:pPr>
        <w:pStyle w:val="BodyText"/>
      </w:pPr>
      <w:r>
        <w:t xml:space="preserve">3.6</w:t>
      </w:r>
      <w:r>
        <w:t xml:space="preserve"> </w:t>
      </w:r>
      <w:r>
        <w:rPr>
          <w:bCs/>
          <w:b/>
        </w:rPr>
        <w:t xml:space="preserve">No Offset or Withholding of Rent.</w:t>
      </w:r>
      <w:r>
        <w:t xml:space="preserve"> </w:t>
      </w:r>
      <w:r>
        <w:t xml:space="preserve">Tenants shall pay rent and all other sums due under this Lease</w:t>
      </w:r>
      <w:r>
        <w:t xml:space="preserve"> </w:t>
      </w:r>
      <w:r>
        <w:rPr>
          <w:bCs/>
          <w:b/>
        </w:rPr>
        <w:t xml:space="preserve">without setoff, deduction, or withholding</w:t>
      </w:r>
      <w:r>
        <w:t xml:space="preserve">, except to the limited extent expressly permitted by the Montana Residential Landlord and Tenant Act, including any lawful repair‑and‑deduct rights under</w:t>
      </w:r>
      <w:r>
        <w:t xml:space="preserve"> </w:t>
      </w:r>
      <w:hyperlink r:id="rId29">
        <w:r>
          <w:rPr>
            <w:rStyle w:val="Hyperlink"/>
          </w:rPr>
          <w:t xml:space="preserve">MCA § 70‑24‑406</w:t>
        </w:r>
      </w:hyperlink>
      <w:r>
        <w:t xml:space="preserve"> </w:t>
      </w:r>
      <w:r>
        <w:t xml:space="preserve">and other remedies in</w:t>
      </w:r>
      <w:r>
        <w:t xml:space="preserve"> </w:t>
      </w:r>
      <w:hyperlink r:id="rId30">
        <w:r>
          <w:rPr>
            <w:rStyle w:val="Hyperlink"/>
          </w:rPr>
          <w:t xml:space="preserve">MCA Title 70, Chapter 24, Part 4</w:t>
        </w:r>
      </w:hyperlink>
      <w:r>
        <w:t xml:space="preserve">. Tenants may not withhold rent to induce Landlord to perform repairs and must instead use statutory remedies.</w:t>
      </w:r>
    </w:p>
    <w:p>
      <w:r>
        <w:pict>
          <v:rect style="width:0;height:1.5pt" o:hralign="center" o:hrstd="t" o:hr="t"/>
        </w:pict>
      </w:r>
    </w:p>
    <w:bookmarkEnd w:id="31"/>
    <w:bookmarkStart w:id="33" w:name="utilities-and-services"/>
    <w:p>
      <w:pPr>
        <w:pStyle w:val="Heading2"/>
      </w:pPr>
      <w:r>
        <w:t xml:space="preserve">4. Utilities and Services</w:t>
      </w:r>
    </w:p>
    <w:p>
      <w:pPr>
        <w:pStyle w:val="FirstParagraph"/>
      </w:pPr>
      <w:r>
        <w:t xml:space="preserve">4.1</w:t>
      </w:r>
      <w:r>
        <w:t xml:space="preserve"> </w:t>
      </w:r>
      <w:r>
        <w:rPr>
          <w:bCs/>
          <w:b/>
        </w:rPr>
        <w:t xml:space="preserve">Tenant‑Paid Utilities (in Tenant’s Name).</w:t>
      </w:r>
      <w:r>
        <w:t xml:space="preserve"> </w:t>
      </w:r>
      <w:r>
        <w:t xml:space="preserve">Tenants shall arrange for and pay all charges for:</w:t>
      </w:r>
      <w:r>
        <w:br/>
      </w:r>
      <w:r>
        <w:t xml:space="preserve">- Electricity</w:t>
      </w:r>
      <w:r>
        <w:br/>
      </w:r>
      <w:r>
        <w:t xml:space="preserve">- Propane fuel (for heating and appliances)</w:t>
      </w:r>
      <w:r>
        <w:br/>
      </w:r>
      <w:r>
        <w:t xml:space="preserve">- Garbage/trash service</w:t>
      </w:r>
      <w:r>
        <w:br/>
      </w:r>
      <w:r>
        <w:t xml:space="preserve">- Telephone, cable, or upgraded internet service (if desired)</w:t>
      </w:r>
    </w:p>
    <w:p>
      <w:pPr>
        <w:pStyle w:val="BodyText"/>
      </w:pPr>
      <w:r>
        <w:t xml:space="preserve">All such accounts shall be opened in Tenants’ names as of the Commencement Date and kept current throughout the tenancy.</w:t>
      </w:r>
    </w:p>
    <w:p>
      <w:pPr>
        <w:pStyle w:val="BodyText"/>
      </w:pPr>
      <w:r>
        <w:t xml:space="preserve">4.2</w:t>
      </w:r>
      <w:r>
        <w:t xml:space="preserve"> </w:t>
      </w:r>
      <w:r>
        <w:rPr>
          <w:bCs/>
          <w:b/>
        </w:rPr>
        <w:t xml:space="preserve">Propane Tank.</w:t>
      </w:r>
      <w:r>
        <w:br/>
      </w:r>
      <w:r>
        <w:t xml:space="preserve">- Landlord</w:t>
      </w:r>
      <w:r>
        <w:t xml:space="preserve"> </w:t>
      </w:r>
      <w:r>
        <w:rPr>
          <w:bCs/>
          <w:b/>
        </w:rPr>
        <w:t xml:space="preserve">owns and maintains</w:t>
      </w:r>
      <w:r>
        <w:t xml:space="preserve"> </w:t>
      </w:r>
      <w:r>
        <w:t xml:space="preserve">the propane tank hardware and fittings.</w:t>
      </w:r>
      <w:r>
        <w:br/>
      </w:r>
      <w:r>
        <w:t xml:space="preserve">- Tenants shall arrange all fuel deliveries and pay for propane consumed during the tenancy.</w:t>
      </w:r>
      <w:r>
        <w:br/>
      </w:r>
      <w:r>
        <w:t xml:space="preserve">- At move‑out, Tenants shall ensure the propane tank level is equal to or greater than the level documented on the move‑in condition statement or pay Landlord the value of any shortfall at prevailing rates.</w:t>
      </w:r>
    </w:p>
    <w:p>
      <w:pPr>
        <w:pStyle w:val="BodyText"/>
      </w:pPr>
      <w:r>
        <w:t xml:space="preserve">4.3</w:t>
      </w:r>
      <w:r>
        <w:t xml:space="preserve"> </w:t>
      </w:r>
      <w:r>
        <w:rPr>
          <w:bCs/>
          <w:b/>
        </w:rPr>
        <w:t xml:space="preserve">Landlord‑Provided Services.</w:t>
      </w:r>
      <w:r>
        <w:t xml:space="preserve"> </w:t>
      </w:r>
      <w:r>
        <w:t xml:space="preserve">Landlord shall provide</w:t>
      </w:r>
      <w:r>
        <w:t xml:space="preserve"> </w:t>
      </w:r>
      <w:r>
        <w:rPr>
          <w:bCs/>
          <w:b/>
        </w:rPr>
        <w:t xml:space="preserve">limited Wi‑Fi internet access</w:t>
      </w:r>
      <w:r>
        <w:t xml:space="preserve"> </w:t>
      </w:r>
      <w:r>
        <w:t xml:space="preserve">as a courtesy service only, without guarantee as to speed, compatibility, or uptime. Tenants shall use such service lawfully and shall not hold Landlord liable for outages, security issues, or consequential damages arising from its use or unavailability.</w:t>
      </w:r>
    </w:p>
    <w:p>
      <w:pPr>
        <w:pStyle w:val="BodyText"/>
      </w:pPr>
      <w:r>
        <w:t xml:space="preserve">4.4</w:t>
      </w:r>
      <w:r>
        <w:t xml:space="preserve"> </w:t>
      </w:r>
      <w:r>
        <w:rPr>
          <w:bCs/>
          <w:b/>
        </w:rPr>
        <w:t xml:space="preserve">Water and Septic.</w:t>
      </w:r>
      <w:r>
        <w:br/>
      </w:r>
      <w:r>
        <w:t xml:space="preserve">- The Premises are served by a</w:t>
      </w:r>
      <w:r>
        <w:t xml:space="preserve"> </w:t>
      </w:r>
      <w:r>
        <w:rPr>
          <w:bCs/>
          <w:b/>
        </w:rPr>
        <w:t xml:space="preserve">private well</w:t>
      </w:r>
      <w:r>
        <w:t xml:space="preserve"> </w:t>
      </w:r>
      <w:r>
        <w:t xml:space="preserve">and</w:t>
      </w:r>
      <w:r>
        <w:t xml:space="preserve"> </w:t>
      </w:r>
      <w:r>
        <w:rPr>
          <w:bCs/>
          <w:b/>
        </w:rPr>
        <w:t xml:space="preserve">on‑site septic system</w:t>
      </w:r>
      <w:r>
        <w:t xml:space="preserve">.</w:t>
      </w:r>
      <w:r>
        <w:br/>
      </w:r>
      <w:r>
        <w:t xml:space="preserve">- Landlord is responsible for structural septic system maintenance and repairs (tank, drain field, major components), consistent with Landlord’s duties under</w:t>
      </w:r>
      <w:r>
        <w:t xml:space="preserve"> </w:t>
      </w:r>
      <w:hyperlink r:id="rId32">
        <w:r>
          <w:rPr>
            <w:rStyle w:val="Hyperlink"/>
          </w:rPr>
          <w:t xml:space="preserve">MCA § 70‑24‑303</w:t>
        </w:r>
      </w:hyperlink>
      <w:r>
        <w:t xml:space="preserve">.</w:t>
      </w:r>
      <w:r>
        <w:br/>
      </w:r>
      <w:r>
        <w:t xml:space="preserve">- Tenants shall:</w:t>
      </w:r>
      <w:r>
        <w:br/>
      </w:r>
      <w:r>
        <w:t xml:space="preserve">- Use water and sewer reasonably;</w:t>
      </w:r>
      <w:r>
        <w:br/>
      </w:r>
      <w:r>
        <w:t xml:space="preserve">- Not dispose of grease, wipes, feminine hygiene products, diapers, cat litter, chemicals, or other non‑biodegradable materials in toilets or drains;</w:t>
      </w:r>
      <w:r>
        <w:br/>
      </w:r>
      <w:r>
        <w:t xml:space="preserve">- Immediately report slow drains, backups, or sewage odors.</w:t>
      </w:r>
      <w:r>
        <w:br/>
      </w:r>
      <w:r>
        <w:t xml:space="preserve">- Tenants shall be liable for costs of pumping, clearing, or repairs caused by their misuse or failure to timely report issues.</w:t>
      </w:r>
    </w:p>
    <w:p>
      <w:pPr>
        <w:pStyle w:val="BodyText"/>
      </w:pPr>
      <w:r>
        <w:t xml:space="preserve">4.5</w:t>
      </w:r>
      <w:r>
        <w:t xml:space="preserve"> </w:t>
      </w:r>
      <w:r>
        <w:rPr>
          <w:bCs/>
          <w:b/>
        </w:rPr>
        <w:t xml:space="preserve">Acceptable Use of Internet Service.</w:t>
      </w:r>
      <w:r>
        <w:br/>
      </w:r>
      <w:r>
        <w:t xml:space="preserve">- Tenants shall</w:t>
      </w:r>
      <w:r>
        <w:t xml:space="preserve"> </w:t>
      </w:r>
      <w:r>
        <w:rPr>
          <w:bCs/>
          <w:b/>
        </w:rPr>
        <w:t xml:space="preserve">not</w:t>
      </w:r>
      <w:r>
        <w:t xml:space="preserve"> </w:t>
      </w:r>
      <w:r>
        <w:t xml:space="preserve">use, or permit others to use, Landlord‑provided internet service for any</w:t>
      </w:r>
      <w:r>
        <w:t xml:space="preserve"> </w:t>
      </w:r>
      <w:r>
        <w:rPr>
          <w:bCs/>
          <w:b/>
        </w:rPr>
        <w:t xml:space="preserve">illegal or unethical activity</w:t>
      </w:r>
      <w:r>
        <w:t xml:space="preserve">, including but not limited to copyright infringement, hacking, unauthorized access to other systems, harassment, distribution of malware, or viewing, downloading, or distributing illegal content.</w:t>
      </w:r>
      <w:r>
        <w:br/>
      </w:r>
      <w:r>
        <w:t xml:space="preserve">- Tenants are solely responsible for all activity conducted via the connection in or from the Premises and shall indemnify and hold Landlord harmless from claims, investigations, or liabilities arising out of Tenants’ misuse of the service, to the extent permitted by Montana law and without waiving Landlord’s statutory duties.</w:t>
      </w:r>
    </w:p>
    <w:p>
      <w:r>
        <w:pict>
          <v:rect style="width:0;height:1.5pt" o:hralign="center" o:hrstd="t" o:hr="t"/>
        </w:pict>
      </w:r>
    </w:p>
    <w:bookmarkEnd w:id="33"/>
    <w:bookmarkStart w:id="35" w:name="maintenance-repairs-and-access"/>
    <w:p>
      <w:pPr>
        <w:pStyle w:val="Heading2"/>
      </w:pPr>
      <w:r>
        <w:t xml:space="preserve">5. Maintenance, Repairs, and Access</w:t>
      </w:r>
    </w:p>
    <w:p>
      <w:pPr>
        <w:pStyle w:val="FirstParagraph"/>
      </w:pPr>
      <w:r>
        <w:t xml:space="preserve">5.1</w:t>
      </w:r>
      <w:r>
        <w:t xml:space="preserve"> </w:t>
      </w:r>
      <w:r>
        <w:rPr>
          <w:bCs/>
          <w:b/>
        </w:rPr>
        <w:t xml:space="preserve">Landlord Duties.</w:t>
      </w:r>
      <w:r>
        <w:t xml:space="preserve"> </w:t>
      </w:r>
      <w:r>
        <w:t xml:space="preserve">Landlord shall comply with</w:t>
      </w:r>
      <w:r>
        <w:t xml:space="preserve"> </w:t>
      </w:r>
      <w:hyperlink r:id="rId32">
        <w:r>
          <w:rPr>
            <w:rStyle w:val="Hyperlink"/>
          </w:rPr>
          <w:t xml:space="preserve">MCA § 70‑24‑303</w:t>
        </w:r>
      </w:hyperlink>
      <w:r>
        <w:t xml:space="preserve">, including the duty to:</w:t>
      </w:r>
      <w:r>
        <w:br/>
      </w:r>
      <w:r>
        <w:t xml:space="preserve">- Maintain all electrical, plumbing, sanitary, heating, ventilating, and other facilities and appliances supplied by Landlord in good working order;</w:t>
      </w:r>
      <w:r>
        <w:br/>
      </w:r>
      <w:r>
        <w:t xml:space="preserve">- Keep common areas (if any) reasonably clean and safe.</w:t>
      </w:r>
    </w:p>
    <w:p>
      <w:pPr>
        <w:pStyle w:val="BodyText"/>
      </w:pPr>
      <w:r>
        <w:t xml:space="preserve">5.2</w:t>
      </w:r>
      <w:r>
        <w:t xml:space="preserve"> </w:t>
      </w:r>
      <w:r>
        <w:rPr>
          <w:bCs/>
          <w:b/>
        </w:rPr>
        <w:t xml:space="preserve">Tenant Duties.</w:t>
      </w:r>
      <w:r>
        <w:t xml:space="preserve"> </w:t>
      </w:r>
      <w:r>
        <w:t xml:space="preserve">Tenants shall:</w:t>
      </w:r>
      <w:r>
        <w:br/>
      </w:r>
      <w:r>
        <w:t xml:space="preserve">- Keep the Premises, including interior, yard areas, and exterior surfaces under Tenant’s control, in a clean and safe condition;</w:t>
      </w:r>
      <w:r>
        <w:br/>
      </w:r>
      <w:r>
        <w:t xml:space="preserve">- Use all facilities and appliances (including septic and well) reasonably and safely;</w:t>
      </w:r>
      <w:r>
        <w:br/>
      </w:r>
      <w:r>
        <w:t xml:space="preserve">- Not deliberately or negligently damage, destroy, or remove any part of the Premises;</w:t>
      </w:r>
      <w:r>
        <w:br/>
      </w:r>
      <w:r>
        <w:t xml:space="preserve">- Promptly notify Landlord in writing of any condition requiring repair to prevent damage or safety hazards.</w:t>
      </w:r>
    </w:p>
    <w:p>
      <w:pPr>
        <w:pStyle w:val="BodyText"/>
      </w:pPr>
      <w:r>
        <w:t xml:space="preserve">5.3</w:t>
      </w:r>
      <w:r>
        <w:t xml:space="preserve"> </w:t>
      </w:r>
      <w:r>
        <w:rPr>
          <w:bCs/>
          <w:b/>
        </w:rPr>
        <w:t xml:space="preserve">Snow Removal.</w:t>
      </w:r>
      <w:r>
        <w:t xml:space="preserve"> </w:t>
      </w:r>
      <w:r>
        <w:t xml:space="preserve">For this single‑family dwelling, Tenants agree to assume the duty to perform</w:t>
      </w:r>
      <w:r>
        <w:t xml:space="preserve"> </w:t>
      </w:r>
      <w:r>
        <w:rPr>
          <w:bCs/>
          <w:b/>
        </w:rPr>
        <w:t xml:space="preserve">basic snow and ice removal</w:t>
      </w:r>
      <w:r>
        <w:t xml:space="preserve"> </w:t>
      </w:r>
      <w:r>
        <w:t xml:space="preserve">from:</w:t>
      </w:r>
      <w:r>
        <w:br/>
      </w:r>
      <w:r>
        <w:t xml:space="preserve">- Driveway</w:t>
      </w:r>
      <w:r>
        <w:br/>
      </w:r>
      <w:r>
        <w:t xml:space="preserve">- Walkways and entry porches</w:t>
      </w:r>
    </w:p>
    <w:p>
      <w:pPr>
        <w:pStyle w:val="BodyText"/>
      </w:pPr>
      <w:r>
        <w:t xml:space="preserve">This shifting of duty is permitted by</w:t>
      </w:r>
      <w:r>
        <w:t xml:space="preserve"> </w:t>
      </w:r>
      <w:hyperlink r:id="rId32">
        <w:r>
          <w:rPr>
            <w:rStyle w:val="Hyperlink"/>
          </w:rPr>
          <w:t xml:space="preserve">MCA § 70‑24‑303(3)–(4)</w:t>
        </w:r>
      </w:hyperlink>
      <w:r>
        <w:t xml:space="preserve"> </w:t>
      </w:r>
      <w:r>
        <w:t xml:space="preserve">when agreed to in writing for a single‑family residence. Tenants shall perform such removal in a timely manner to reduce slip hazards.</w:t>
      </w:r>
    </w:p>
    <w:p>
      <w:pPr>
        <w:pStyle w:val="BodyText"/>
      </w:pPr>
      <w:r>
        <w:t xml:space="preserve">5.4</w:t>
      </w:r>
      <w:r>
        <w:t xml:space="preserve"> </w:t>
      </w:r>
      <w:r>
        <w:rPr>
          <w:bCs/>
          <w:b/>
        </w:rPr>
        <w:t xml:space="preserve">Lawn and Yard Care.</w:t>
      </w:r>
      <w:r>
        <w:t xml:space="preserve"> </w:t>
      </w:r>
      <w:r>
        <w:t xml:space="preserve">Tenants shall be responsible for routine lawn mowing, trimming, and basic yard upkeep (including seasonal cleanup) to keep the Premises neat and in compliance with any applicable local standards.</w:t>
      </w:r>
    </w:p>
    <w:p>
      <w:pPr>
        <w:pStyle w:val="BodyText"/>
      </w:pPr>
      <w:r>
        <w:t xml:space="preserve">5.5</w:t>
      </w:r>
      <w:r>
        <w:t xml:space="preserve"> </w:t>
      </w:r>
      <w:r>
        <w:rPr>
          <w:bCs/>
          <w:b/>
        </w:rPr>
        <w:t xml:space="preserve">Entry by Landlord.</w:t>
      </w:r>
      <w:r>
        <w:br/>
      </w:r>
      <w:r>
        <w:t xml:space="preserve">- Except in emergencies, Landlord shall provide at least</w:t>
      </w:r>
      <w:r>
        <w:t xml:space="preserve"> </w:t>
      </w:r>
      <w:r>
        <w:rPr>
          <w:bCs/>
          <w:b/>
        </w:rPr>
        <w:t xml:space="preserve">24 hours’ prior notice</w:t>
      </w:r>
      <w:r>
        <w:t xml:space="preserve"> </w:t>
      </w:r>
      <w:r>
        <w:t xml:space="preserve">to Tenants before entering the Premises for repairs, inspections, or showing to prospective tenants or purchasers, consistent with</w:t>
      </w:r>
      <w:r>
        <w:t xml:space="preserve"> </w:t>
      </w:r>
      <w:hyperlink r:id="rId34">
        <w:r>
          <w:rPr>
            <w:rStyle w:val="Hyperlink"/>
          </w:rPr>
          <w:t xml:space="preserve">MCA § 70‑24‑312</w:t>
        </w:r>
      </w:hyperlink>
      <w:r>
        <w:t xml:space="preserve">.</w:t>
      </w:r>
      <w:r>
        <w:br/>
      </w:r>
      <w:r>
        <w:t xml:space="preserve">- Tenants may waive the 24‑hour requirement for specific entries by written, email, or text consent.</w:t>
      </w:r>
      <w:r>
        <w:br/>
      </w:r>
      <w:r>
        <w:t xml:space="preserve">- In an</w:t>
      </w:r>
      <w:r>
        <w:t xml:space="preserve"> </w:t>
      </w:r>
      <w:r>
        <w:rPr>
          <w:bCs/>
          <w:b/>
        </w:rPr>
        <w:t xml:space="preserve">emergency</w:t>
      </w:r>
      <w:r>
        <w:t xml:space="preserve"> </w:t>
      </w:r>
      <w:r>
        <w:t xml:space="preserve">(including but not limited to active water leaks, loss of essential services, fire, or conditions posing serious risk of damage or injury), Landlord may enter the Premises without prior notice as allowed by</w:t>
      </w:r>
      <w:r>
        <w:t xml:space="preserve"> </w:t>
      </w:r>
      <w:hyperlink r:id="rId34">
        <w:r>
          <w:rPr>
            <w:rStyle w:val="Hyperlink"/>
          </w:rPr>
          <w:t xml:space="preserve">MCA § 70‑24‑312(2)</w:t>
        </w:r>
      </w:hyperlink>
      <w:r>
        <w:t xml:space="preserve">.</w:t>
      </w:r>
    </w:p>
    <w:p>
      <w:r>
        <w:pict>
          <v:rect style="width:0;height:1.5pt" o:hralign="center" o:hrstd="t" o:hr="t"/>
        </w:pict>
      </w:r>
    </w:p>
    <w:bookmarkEnd w:id="35"/>
    <w:bookmarkStart w:id="37" w:name="insurance-and-risk-allocation"/>
    <w:p>
      <w:pPr>
        <w:pStyle w:val="Heading2"/>
      </w:pPr>
      <w:r>
        <w:t xml:space="preserve">6. Insurance and Risk Allocation</w:t>
      </w:r>
    </w:p>
    <w:p>
      <w:pPr>
        <w:pStyle w:val="FirstParagraph"/>
      </w:pPr>
      <w:r>
        <w:t xml:space="preserve">6.1</w:t>
      </w:r>
      <w:r>
        <w:t xml:space="preserve"> </w:t>
      </w:r>
      <w:r>
        <w:rPr>
          <w:bCs/>
          <w:b/>
        </w:rPr>
        <w:t xml:space="preserve">Landlord’s Insurance.</w:t>
      </w:r>
      <w:r>
        <w:t xml:space="preserve"> </w:t>
      </w:r>
      <w:r>
        <w:t xml:space="preserve">Landlord shall maintain property insurance on the dwelling structure. This insurance does</w:t>
      </w:r>
      <w:r>
        <w:t xml:space="preserve"> </w:t>
      </w:r>
      <w:r>
        <w:rPr>
          <w:bCs/>
          <w:b/>
        </w:rPr>
        <w:t xml:space="preserve">not</w:t>
      </w:r>
      <w:r>
        <w:t xml:space="preserve"> </w:t>
      </w:r>
      <w:r>
        <w:t xml:space="preserve">cover Tenants’ personal property or liability.</w:t>
      </w:r>
    </w:p>
    <w:p>
      <w:pPr>
        <w:pStyle w:val="BodyText"/>
      </w:pPr>
      <w:r>
        <w:t xml:space="preserve">6.2</w:t>
      </w:r>
      <w:r>
        <w:t xml:space="preserve"> </w:t>
      </w:r>
      <w:r>
        <w:rPr>
          <w:bCs/>
          <w:b/>
        </w:rPr>
        <w:t xml:space="preserve">Tenant’s Renter’s Liability Insurance (Required).</w:t>
      </w:r>
      <w:r>
        <w:br/>
      </w:r>
      <w:r>
        <w:t xml:space="preserve">- Within</w:t>
      </w:r>
      <w:r>
        <w:t xml:space="preserve"> </w:t>
      </w:r>
      <w:r>
        <w:rPr>
          <w:bCs/>
          <w:b/>
        </w:rPr>
        <w:t xml:space="preserve">5 days</w:t>
      </w:r>
      <w:r>
        <w:t xml:space="preserve"> </w:t>
      </w:r>
      <w:r>
        <w:t xml:space="preserve">of the Commencement Date, Tenants shall obtain and maintain throughout the tenancy a renter’s liability insurance policy with minimum liability coverage of</w:t>
      </w:r>
      <w:r>
        <w:t xml:space="preserve"> </w:t>
      </w:r>
      <w:r>
        <w:rPr>
          <w:bCs/>
          <w:b/>
        </w:rPr>
        <w:t xml:space="preserve">$100,000</w:t>
      </w:r>
      <w:r>
        <w:t xml:space="preserve">.</w:t>
      </w:r>
      <w:r>
        <w:br/>
      </w:r>
      <w:r>
        <w:t xml:space="preserve">- Tenants shall provide proof of coverage to Landlord and list Landlord as an</w:t>
      </w:r>
      <w:r>
        <w:t xml:space="preserve"> </w:t>
      </w:r>
      <w:r>
        <w:t xml:space="preserve">“</w:t>
      </w:r>
      <w:r>
        <w:t xml:space="preserve">Interested Party</w:t>
      </w:r>
      <w:r>
        <w:t xml:space="preserve">”</w:t>
      </w:r>
      <w:r>
        <w:t xml:space="preserve"> </w:t>
      </w:r>
      <w:r>
        <w:t xml:space="preserve">or equivalent for cancellation notices, if available from the insurer.</w:t>
      </w:r>
      <w:r>
        <w:br/>
      </w:r>
      <w:r>
        <w:t xml:space="preserve">- Failure to maintain required insurance is a material breach of this Lease.</w:t>
      </w:r>
    </w:p>
    <w:p>
      <w:pPr>
        <w:pStyle w:val="BodyText"/>
      </w:pPr>
      <w:r>
        <w:t xml:space="preserve">6.3</w:t>
      </w:r>
      <w:r>
        <w:t xml:space="preserve"> </w:t>
      </w:r>
      <w:r>
        <w:rPr>
          <w:bCs/>
          <w:b/>
        </w:rPr>
        <w:t xml:space="preserve">Personal Property at Tenant’s Risk.</w:t>
      </w:r>
      <w:r>
        <w:t xml:space="preserve"> </w:t>
      </w:r>
      <w:r>
        <w:t xml:space="preserve">Tenants’ personal property is stored on the Premises at Tenants’ sole risk. Landlord shall not be liable for loss or damage to Tenants’ personal property due to theft, fire, water, power outage, or other casualty except to the extent caused by Landlord’s willful misconduct or gross negligence and not otherwise limited by law.</w:t>
      </w:r>
    </w:p>
    <w:p>
      <w:pPr>
        <w:pStyle w:val="BodyText"/>
      </w:pPr>
      <w:r>
        <w:t xml:space="preserve">6.4</w:t>
      </w:r>
      <w:r>
        <w:t xml:space="preserve"> </w:t>
      </w:r>
      <w:r>
        <w:rPr>
          <w:bCs/>
          <w:b/>
        </w:rPr>
        <w:t xml:space="preserve">Indemnification by Tenants.</w:t>
      </w:r>
      <w:r>
        <w:t xml:space="preserve"> </w:t>
      </w:r>
      <w:r>
        <w:t xml:space="preserve">To the extent permitted by</w:t>
      </w:r>
      <w:r>
        <w:t xml:space="preserve"> </w:t>
      </w:r>
      <w:hyperlink r:id="rId36">
        <w:r>
          <w:rPr>
            <w:rStyle w:val="Hyperlink"/>
          </w:rPr>
          <w:t xml:space="preserve">MCA § 70‑24‑202</w:t>
        </w:r>
      </w:hyperlink>
      <w:r>
        <w:t xml:space="preserve"> </w:t>
      </w:r>
      <w:r>
        <w:t xml:space="preserve">and other applicable law,</w:t>
      </w:r>
      <w:r>
        <w:t xml:space="preserve"> </w:t>
      </w:r>
      <w:r>
        <w:rPr>
          <w:bCs/>
          <w:b/>
        </w:rPr>
        <w:t xml:space="preserve">Tenants shall indemnify Landlord from claims to the extent caused by the acts or omissions of Tenants, household members, guests, or invitees.</w:t>
      </w:r>
      <w:r>
        <w:t xml:space="preserve"> </w:t>
      </w:r>
      <w:r>
        <w:t xml:space="preserve">Nothing in this Lease requires Tenants to indemnify Landlord for Landlord’s own negligence or intentional misconduct, and nothing herein waives any rights or remedies that either Party has under the Montana Residential Landlord and Tenant Act.</w:t>
      </w:r>
    </w:p>
    <w:p>
      <w:r>
        <w:pict>
          <v:rect style="width:0;height:1.5pt" o:hralign="center" o:hrstd="t" o:hr="t"/>
        </w:pict>
      </w:r>
    </w:p>
    <w:bookmarkEnd w:id="37"/>
    <w:bookmarkStart w:id="38" w:name="X4a6680355d7f353cfc8b96077c593fca7d56e85"/>
    <w:p>
      <w:pPr>
        <w:pStyle w:val="Heading2"/>
      </w:pPr>
      <w:r>
        <w:t xml:space="preserve">7. Rules; Pets; Smoking; Vehicles; Illegal Activity</w:t>
      </w:r>
    </w:p>
    <w:p>
      <w:pPr>
        <w:pStyle w:val="FirstParagraph"/>
      </w:pPr>
      <w:r>
        <w:t xml:space="preserve">7.1</w:t>
      </w:r>
      <w:r>
        <w:t xml:space="preserve"> </w:t>
      </w:r>
      <w:r>
        <w:rPr>
          <w:bCs/>
          <w:b/>
        </w:rPr>
        <w:t xml:space="preserve">Pets.</w:t>
      </w:r>
      <w:r>
        <w:t xml:space="preserve"> </w:t>
      </w:r>
      <w:r>
        <w:rPr>
          <w:bCs/>
          <w:b/>
        </w:rPr>
        <w:t xml:space="preserve">No pets</w:t>
      </w:r>
      <w:r>
        <w:t xml:space="preserve"> </w:t>
      </w:r>
      <w:r>
        <w:t xml:space="preserve">are permitted on the Premises, whether owned, visiting, or temporary, without Landlord’s prior written consent, except as required by law for service animals or reasonable accommodations under fair housing laws.</w:t>
      </w:r>
    </w:p>
    <w:p>
      <w:pPr>
        <w:pStyle w:val="BodyText"/>
      </w:pPr>
      <w:r>
        <w:t xml:space="preserve">7.2</w:t>
      </w:r>
      <w:r>
        <w:t xml:space="preserve"> </w:t>
      </w:r>
      <w:r>
        <w:rPr>
          <w:bCs/>
          <w:b/>
        </w:rPr>
        <w:t xml:space="preserve">Smoking and Vaping.</w:t>
      </w:r>
      <w:r>
        <w:t xml:space="preserve"> </w:t>
      </w:r>
      <w:r>
        <w:t xml:space="preserve">Smoking, vaping, or use of tobacco or marijuana products is prohibited</w:t>
      </w:r>
      <w:r>
        <w:t xml:space="preserve"> </w:t>
      </w:r>
      <w:r>
        <w:rPr>
          <w:bCs/>
          <w:b/>
        </w:rPr>
        <w:t xml:space="preserve">inside the dwelling</w:t>
      </w:r>
      <w:r>
        <w:t xml:space="preserve">. If allowed outdoors, Tenants must safely dispose of smoking materials and not cause damage or nuisance.</w:t>
      </w:r>
    </w:p>
    <w:p>
      <w:pPr>
        <w:pStyle w:val="BodyText"/>
      </w:pPr>
      <w:r>
        <w:t xml:space="preserve">7.3</w:t>
      </w:r>
      <w:r>
        <w:t xml:space="preserve"> </w:t>
      </w:r>
      <w:r>
        <w:rPr>
          <w:bCs/>
          <w:b/>
        </w:rPr>
        <w:t xml:space="preserve">Illegal Activity.</w:t>
      </w:r>
      <w:r>
        <w:t xml:space="preserve"> </w:t>
      </w:r>
      <w:r>
        <w:t xml:space="preserve">Tenants shall not engage in or permit illegal activity on or about the Premises, including illegal drug use, manufacture, or distribution. Violation is grounds for termination consistent with remedies available under</w:t>
      </w:r>
      <w:r>
        <w:t xml:space="preserve"> </w:t>
      </w:r>
      <w:hyperlink r:id="rId30">
        <w:r>
          <w:rPr>
            <w:rStyle w:val="Hyperlink"/>
          </w:rPr>
          <w:t xml:space="preserve">MCA Title 70, Chapter 24, Part 4</w:t>
        </w:r>
      </w:hyperlink>
      <w:r>
        <w:t xml:space="preserve">.</w:t>
      </w:r>
    </w:p>
    <w:p>
      <w:pPr>
        <w:pStyle w:val="BodyText"/>
      </w:pPr>
      <w:r>
        <w:t xml:space="preserve">7.4</w:t>
      </w:r>
      <w:r>
        <w:t xml:space="preserve"> </w:t>
      </w:r>
      <w:r>
        <w:rPr>
          <w:bCs/>
          <w:b/>
        </w:rPr>
        <w:t xml:space="preserve">Methamphetamine Laboratory History.</w:t>
      </w:r>
      <w:r>
        <w:t xml:space="preserve"> </w:t>
      </w:r>
      <w:r>
        <w:t xml:space="preserve">Landlord represents that Landlord has</w:t>
      </w:r>
      <w:r>
        <w:t xml:space="preserve"> </w:t>
      </w:r>
      <w:r>
        <w:rPr>
          <w:bCs/>
          <w:b/>
        </w:rPr>
        <w:t xml:space="preserve">no knowledge</w:t>
      </w:r>
      <w:r>
        <w:t xml:space="preserve"> </w:t>
      </w:r>
      <w:r>
        <w:t xml:space="preserve">that the Premises have ever been used as an illegal methamphetamine laboratory or contaminated under applicable Montana clandestine drug lab cleanup rules.</w:t>
      </w:r>
    </w:p>
    <w:p>
      <w:pPr>
        <w:pStyle w:val="BodyText"/>
      </w:pPr>
      <w:r>
        <w:t xml:space="preserve">7.5</w:t>
      </w:r>
      <w:r>
        <w:t xml:space="preserve"> </w:t>
      </w:r>
      <w:r>
        <w:rPr>
          <w:bCs/>
          <w:b/>
        </w:rPr>
        <w:t xml:space="preserve">Vehicles and Parking.</w:t>
      </w:r>
      <w:r>
        <w:br/>
      </w:r>
      <w:r>
        <w:t xml:space="preserve">- Tenants may keep no more than **____ (__) operable passenger vehicles** on the Premises without Landlord’s written consent. All vehicles must be properly licensed and in operating condition.</w:t>
      </w:r>
      <w:r>
        <w:br/>
      </w:r>
      <w:r>
        <w:t xml:space="preserve">-</w:t>
      </w:r>
      <w:r>
        <w:t xml:space="preserve"> </w:t>
      </w:r>
      <w:r>
        <w:rPr>
          <w:bCs/>
          <w:b/>
        </w:rPr>
        <w:t xml:space="preserve">No parking is allowed on lawns, landscaped areas, or over the septic tank or drain field</w:t>
      </w:r>
      <w:r>
        <w:t xml:space="preserve">, and vehicles may not block driveways, access roads, or emergency access.</w:t>
      </w:r>
      <w:r>
        <w:br/>
      </w:r>
      <w:r>
        <w:t xml:space="preserve">-</w:t>
      </w:r>
      <w:r>
        <w:t xml:space="preserve"> </w:t>
      </w:r>
      <w:r>
        <w:rPr>
          <w:bCs/>
          <w:b/>
        </w:rPr>
        <w:t xml:space="preserve">No recreational vehicles (RVs), boats, trailers, or derelict/inoperable vehicles</w:t>
      </w:r>
      <w:r>
        <w:t xml:space="preserve"> </w:t>
      </w:r>
      <w:r>
        <w:t xml:space="preserve">may be stored or parked on the Premises without Landlord’s prior written consent.</w:t>
      </w:r>
    </w:p>
    <w:p>
      <w:r>
        <w:pict>
          <v:rect style="width:0;height:1.5pt" o:hralign="center" o:hrstd="t" o:hr="t"/>
        </w:pict>
      </w:r>
    </w:p>
    <w:bookmarkEnd w:id="38"/>
    <w:bookmarkStart w:id="39" w:name="condition-repairs-and-alterations"/>
    <w:p>
      <w:pPr>
        <w:pStyle w:val="Heading2"/>
      </w:pPr>
      <w:r>
        <w:t xml:space="preserve">8. Condition, Repairs, and Alterations</w:t>
      </w:r>
    </w:p>
    <w:p>
      <w:pPr>
        <w:pStyle w:val="FirstParagraph"/>
      </w:pPr>
      <w:r>
        <w:t xml:space="preserve">8.1</w:t>
      </w:r>
      <w:r>
        <w:t xml:space="preserve"> </w:t>
      </w:r>
      <w:r>
        <w:rPr>
          <w:bCs/>
          <w:b/>
        </w:rPr>
        <w:t xml:space="preserve">Condition at Move‑In.</w:t>
      </w:r>
      <w:r>
        <w:t xml:space="preserve"> </w:t>
      </w:r>
      <w:r>
        <w:t xml:space="preserve">Tenants acknowledge that the septic system has been</w:t>
      </w:r>
      <w:r>
        <w:t xml:space="preserve"> </w:t>
      </w:r>
      <w:r>
        <w:rPr>
          <w:bCs/>
          <w:b/>
        </w:rPr>
        <w:t xml:space="preserve">recently rebuilt</w:t>
      </w:r>
      <w:r>
        <w:t xml:space="preserve"> </w:t>
      </w:r>
      <w:r>
        <w:t xml:space="preserve">and that there are</w:t>
      </w:r>
      <w:r>
        <w:t xml:space="preserve"> </w:t>
      </w:r>
      <w:r>
        <w:rPr>
          <w:bCs/>
          <w:b/>
        </w:rPr>
        <w:t xml:space="preserve">no known structural issues</w:t>
      </w:r>
      <w:r>
        <w:t xml:space="preserve"> </w:t>
      </w:r>
      <w:r>
        <w:t xml:space="preserve">with the Premises to Landlord’s knowledge as of the Commencement Date. Tenants shall verify condition through the move‑in inspection and written condition statement required by</w:t>
      </w:r>
      <w:r>
        <w:t xml:space="preserve"> </w:t>
      </w:r>
      <w:hyperlink r:id="rId28">
        <w:r>
          <w:rPr>
            <w:rStyle w:val="Hyperlink"/>
          </w:rPr>
          <w:t xml:space="preserve">MCA § 70‑25‑206</w:t>
        </w:r>
      </w:hyperlink>
      <w:r>
        <w:t xml:space="preserve">.</w:t>
      </w:r>
    </w:p>
    <w:p>
      <w:pPr>
        <w:pStyle w:val="BodyText"/>
      </w:pPr>
      <w:r>
        <w:t xml:space="preserve">8.2</w:t>
      </w:r>
      <w:r>
        <w:t xml:space="preserve"> </w:t>
      </w:r>
      <w:r>
        <w:rPr>
          <w:bCs/>
          <w:b/>
        </w:rPr>
        <w:t xml:space="preserve">Alterations.</w:t>
      </w:r>
      <w:r>
        <w:t xml:space="preserve"> </w:t>
      </w:r>
      <w:r>
        <w:t xml:space="preserve">Tenants shall not paint, remodel, install satellite dishes, or otherwise alter the Premises without Landlord’s prior written consent. Any approved alterations shall become part of the Premises and the property of Landlord unless otherwise agreed in writing.</w:t>
      </w:r>
    </w:p>
    <w:p>
      <w:pPr>
        <w:pStyle w:val="BodyText"/>
      </w:pPr>
      <w:r>
        <w:t xml:space="preserve">8.3</w:t>
      </w:r>
      <w:r>
        <w:t xml:space="preserve"> </w:t>
      </w:r>
      <w:r>
        <w:rPr>
          <w:bCs/>
          <w:b/>
        </w:rPr>
        <w:t xml:space="preserve">Repairs by Landlord After Notice.</w:t>
      </w:r>
      <w:r>
        <w:t xml:space="preserve"> </w:t>
      </w:r>
      <w:r>
        <w:t xml:space="preserve">Tenants shall promptly notify Landlord in writing of any needed repairs to avoid damage or unsafe conditions. Landlord shall make required repairs within a reasonable time after notice, consistent with</w:t>
      </w:r>
      <w:r>
        <w:t xml:space="preserve"> </w:t>
      </w:r>
      <w:hyperlink r:id="rId32">
        <w:r>
          <w:rPr>
            <w:rStyle w:val="Hyperlink"/>
          </w:rPr>
          <w:t xml:space="preserve">MCA § 70‑24‑303</w:t>
        </w:r>
      </w:hyperlink>
      <w:r>
        <w:t xml:space="preserve"> </w:t>
      </w:r>
      <w:r>
        <w:t xml:space="preserve">and tenant remedies in</w:t>
      </w:r>
      <w:r>
        <w:t xml:space="preserve"> </w:t>
      </w:r>
      <w:hyperlink r:id="rId29">
        <w:r>
          <w:rPr>
            <w:rStyle w:val="Hyperlink"/>
          </w:rPr>
          <w:t xml:space="preserve">MCA § 70‑24‑406</w:t>
        </w:r>
      </w:hyperlink>
      <w:r>
        <w:t xml:space="preserve">.</w:t>
      </w:r>
    </w:p>
    <w:p>
      <w:r>
        <w:pict>
          <v:rect style="width:0;height:1.5pt" o:hralign="center" o:hrstd="t" o:hr="t"/>
        </w:pict>
      </w:r>
    </w:p>
    <w:bookmarkEnd w:id="39"/>
    <w:bookmarkStart w:id="41" w:name="environmental-and-hazard-disclosures"/>
    <w:p>
      <w:pPr>
        <w:pStyle w:val="Heading2"/>
      </w:pPr>
      <w:r>
        <w:t xml:space="preserve">9. Environmental and Hazard Disclosures</w:t>
      </w:r>
    </w:p>
    <w:p>
      <w:pPr>
        <w:pStyle w:val="FirstParagraph"/>
      </w:pPr>
      <w:r>
        <w:t xml:space="preserve">9.1</w:t>
      </w:r>
      <w:r>
        <w:t xml:space="preserve"> </w:t>
      </w:r>
      <w:r>
        <w:rPr>
          <w:bCs/>
          <w:b/>
        </w:rPr>
        <w:t xml:space="preserve">Mold Disclosure.</w:t>
      </w:r>
      <w:r>
        <w:t xml:space="preserve"> </w:t>
      </w:r>
      <w:r>
        <w:t xml:space="preserve">Landlord shall provide to Tenants, concurrently with this Lease, the mold disclosure statement permitted and described in</w:t>
      </w:r>
      <w:r>
        <w:t xml:space="preserve"> </w:t>
      </w:r>
      <w:hyperlink r:id="rId40">
        <w:r>
          <w:rPr>
            <w:rStyle w:val="Hyperlink"/>
          </w:rPr>
          <w:t xml:space="preserve">MCA § 70‑16‑703</w:t>
        </w:r>
      </w:hyperlink>
      <w:r>
        <w:t xml:space="preserve">, via a separate</w:t>
      </w:r>
      <w:r>
        <w:t xml:space="preserve"> </w:t>
      </w:r>
      <w:r>
        <w:rPr>
          <w:bCs/>
          <w:b/>
        </w:rPr>
        <w:t xml:space="preserve">Mold Disclosure Addendum</w:t>
      </w:r>
      <w:r>
        <w:t xml:space="preserve">, and Tenants shall acknowledge receipt.</w:t>
      </w:r>
    </w:p>
    <w:p>
      <w:pPr>
        <w:pStyle w:val="BodyText"/>
      </w:pPr>
      <w:r>
        <w:t xml:space="preserve">9.2</w:t>
      </w:r>
      <w:r>
        <w:t xml:space="preserve"> </w:t>
      </w:r>
      <w:r>
        <w:rPr>
          <w:bCs/>
          <w:b/>
        </w:rPr>
        <w:t xml:space="preserve">Lead‑Based Paint Disclosure.</w:t>
      </w:r>
      <w:r>
        <w:t xml:space="preserve"> </w:t>
      </w:r>
      <w:r>
        <w:t xml:space="preserve">The dwelling was constructed prior to 1978, and federal law requires disclosure of potential lead‑based paint hazards. Landlord represents that all known lead‑based paint and lead‑based paint hazards were</w:t>
      </w:r>
      <w:r>
        <w:t xml:space="preserve"> </w:t>
      </w:r>
      <w:r>
        <w:rPr>
          <w:bCs/>
          <w:b/>
        </w:rPr>
        <w:t xml:space="preserve">previously mitigated as part of a complete remodel of the home in the 1990s</w:t>
      </w:r>
      <w:r>
        <w:t xml:space="preserve">, and Landlord has no actual knowledge of existing lead‑based paint hazards as of the date of this Lease. Landlord shall provide Tenants with the federally required</w:t>
      </w:r>
      <w:r>
        <w:t xml:space="preserve"> </w:t>
      </w:r>
      <w:r>
        <w:rPr>
          <w:bCs/>
          <w:b/>
        </w:rPr>
        <w:t xml:space="preserve">Lead‑Based Paint Disclosure</w:t>
      </w:r>
      <w:r>
        <w:t xml:space="preserve"> </w:t>
      </w:r>
      <w:r>
        <w:t xml:space="preserve">form and the EPA pamphlet</w:t>
      </w:r>
      <w:r>
        <w:t xml:space="preserve"> </w:t>
      </w:r>
      <w:r>
        <w:rPr>
          <w:bCs/>
          <w:b/>
        </w:rPr>
        <w:t xml:space="preserve">“</w:t>
      </w:r>
      <w:r>
        <w:rPr>
          <w:bCs/>
          <w:b/>
        </w:rPr>
        <w:t xml:space="preserve">Protect Your Family from Lead in Your Home,</w:t>
      </w:r>
      <w:r>
        <w:rPr>
          <w:bCs/>
          <w:b/>
        </w:rPr>
        <w:t xml:space="preserve">”</w:t>
      </w:r>
      <w:r>
        <w:t xml:space="preserve"> </w:t>
      </w:r>
      <w:r>
        <w:t xml:space="preserve">in a separate</w:t>
      </w:r>
      <w:r>
        <w:t xml:space="preserve"> </w:t>
      </w:r>
      <w:r>
        <w:rPr>
          <w:bCs/>
          <w:b/>
        </w:rPr>
        <w:t xml:space="preserve">Lead‑Based Paint Disclosure Addendum</w:t>
      </w:r>
      <w:r>
        <w:t xml:space="preserve">, and Tenants shall acknowledge receipt in writing.</w:t>
      </w:r>
    </w:p>
    <w:p>
      <w:pPr>
        <w:pStyle w:val="BodyText"/>
      </w:pPr>
      <w:r>
        <w:t xml:space="preserve">9.3</w:t>
      </w:r>
      <w:r>
        <w:t xml:space="preserve"> </w:t>
      </w:r>
      <w:r>
        <w:rPr>
          <w:bCs/>
          <w:b/>
        </w:rPr>
        <w:t xml:space="preserve">Water Quality.</w:t>
      </w:r>
      <w:r>
        <w:t xml:space="preserve"> </w:t>
      </w:r>
      <w:r>
        <w:t xml:space="preserve">The Premises are served by a private well. Landlord does not currently provide a recent water quality report. Tenants may, at their expense, test water quality; Landlord agrees to consider reasonable requests for remediation if test results reveal health‑related issues, consistent with Montana habitability standards under</w:t>
      </w:r>
      <w:r>
        <w:t xml:space="preserve"> </w:t>
      </w:r>
      <w:hyperlink r:id="rId32">
        <w:r>
          <w:rPr>
            <w:rStyle w:val="Hyperlink"/>
          </w:rPr>
          <w:t xml:space="preserve">MCA § 70‑24‑303</w:t>
        </w:r>
      </w:hyperlink>
      <w:r>
        <w:t xml:space="preserve">.</w:t>
      </w:r>
    </w:p>
    <w:p>
      <w:r>
        <w:pict>
          <v:rect style="width:0;height:1.5pt" o:hralign="center" o:hrstd="t" o:hr="t"/>
        </w:pict>
      </w:r>
    </w:p>
    <w:bookmarkEnd w:id="41"/>
    <w:bookmarkStart w:id="44" w:name="Xa94b97f37e14a2149555f00e30e6fc7b203cde5"/>
    <w:p>
      <w:pPr>
        <w:pStyle w:val="Heading2"/>
      </w:pPr>
      <w:r>
        <w:t xml:space="preserve">10. Default; Remedies; Abandonment; Attorney Fees</w:t>
      </w:r>
    </w:p>
    <w:p>
      <w:pPr>
        <w:pStyle w:val="FirstParagraph"/>
      </w:pPr>
      <w:r>
        <w:t xml:space="preserve">10.1</w:t>
      </w:r>
      <w:r>
        <w:t xml:space="preserve"> </w:t>
      </w:r>
      <w:r>
        <w:rPr>
          <w:bCs/>
          <w:b/>
        </w:rPr>
        <w:t xml:space="preserve">Tenant Default.</w:t>
      </w:r>
      <w:r>
        <w:t xml:space="preserve"> </w:t>
      </w:r>
      <w:r>
        <w:t xml:space="preserve">Tenant default includes, but is not limited to:</w:t>
      </w:r>
      <w:r>
        <w:br/>
      </w:r>
      <w:r>
        <w:t xml:space="preserve">- Nonpayment of rent or other charges;</w:t>
      </w:r>
      <w:r>
        <w:br/>
      </w:r>
      <w:r>
        <w:t xml:space="preserve">- Material breach of any term of this Lease (including insurance, occupancy, vehicle, or pet rules);</w:t>
      </w:r>
      <w:r>
        <w:br/>
      </w:r>
      <w:r>
        <w:t xml:space="preserve">- Damage, nuisance, or illegal activity.</w:t>
      </w:r>
    </w:p>
    <w:p>
      <w:pPr>
        <w:pStyle w:val="BodyText"/>
      </w:pPr>
      <w:r>
        <w:t xml:space="preserve">10.2</w:t>
      </w:r>
      <w:r>
        <w:t xml:space="preserve"> </w:t>
      </w:r>
      <w:r>
        <w:rPr>
          <w:bCs/>
          <w:b/>
        </w:rPr>
        <w:t xml:space="preserve">Landlord Remedies.</w:t>
      </w:r>
      <w:r>
        <w:t xml:space="preserve"> </w:t>
      </w:r>
      <w:r>
        <w:t xml:space="preserve">Upon Tenant default, Landlord may pursue remedies allowed by the Montana Residential Landlord and Tenant Act, including termination, eviction, and recovery of actual damages and costs, subject to statutory notice requirements and limitations in</w:t>
      </w:r>
      <w:r>
        <w:t xml:space="preserve"> </w:t>
      </w:r>
      <w:hyperlink r:id="rId30">
        <w:r>
          <w:rPr>
            <w:rStyle w:val="Hyperlink"/>
          </w:rPr>
          <w:t xml:space="preserve">MCA Title 70, Chapter 24, Part 4</w:t>
        </w:r>
      </w:hyperlink>
      <w:r>
        <w:t xml:space="preserve">, including</w:t>
      </w:r>
      <w:r>
        <w:t xml:space="preserve"> </w:t>
      </w:r>
      <w:hyperlink r:id="rId42">
        <w:r>
          <w:rPr>
            <w:rStyle w:val="Hyperlink"/>
          </w:rPr>
          <w:t xml:space="preserve">MCA § 70‑24‑422</w:t>
        </w:r>
      </w:hyperlink>
      <w:r>
        <w:t xml:space="preserve"> </w:t>
      </w:r>
      <w:r>
        <w:t xml:space="preserve">regarding noncompliance and termination.</w:t>
      </w:r>
    </w:p>
    <w:p>
      <w:pPr>
        <w:pStyle w:val="BodyText"/>
      </w:pPr>
      <w:r>
        <w:t xml:space="preserve">10.3</w:t>
      </w:r>
      <w:r>
        <w:t xml:space="preserve"> </w:t>
      </w:r>
      <w:r>
        <w:rPr>
          <w:bCs/>
          <w:b/>
        </w:rPr>
        <w:t xml:space="preserve">Abandonment.</w:t>
      </w:r>
      <w:r>
        <w:t xml:space="preserve"> </w:t>
      </w:r>
      <w:r>
        <w:t xml:space="preserve">If Tenants abandon the Premises prior to Lease expiration, Landlord may take possession and mitigate damages as required by Montana law, including re‑renting the Premises and pursuing amounts due under</w:t>
      </w:r>
      <w:r>
        <w:t xml:space="preserve"> </w:t>
      </w:r>
      <w:hyperlink r:id="rId23">
        <w:r>
          <w:rPr>
            <w:rStyle w:val="Hyperlink"/>
          </w:rPr>
          <w:t xml:space="preserve">MCA § 70‑24‑201(2)(f)</w:t>
        </w:r>
      </w:hyperlink>
      <w:r>
        <w:t xml:space="preserve">.</w:t>
      </w:r>
    </w:p>
    <w:p>
      <w:pPr>
        <w:pStyle w:val="BodyText"/>
      </w:pPr>
      <w:r>
        <w:t xml:space="preserve">10.4</w:t>
      </w:r>
      <w:r>
        <w:t xml:space="preserve"> </w:t>
      </w:r>
      <w:r>
        <w:rPr>
          <w:bCs/>
          <w:b/>
        </w:rPr>
        <w:t xml:space="preserve">Attorney Fees and Costs.</w:t>
      </w:r>
      <w:r>
        <w:t xml:space="preserve"> </w:t>
      </w:r>
      <w:r>
        <w:t xml:space="preserve">In any action or proceeding to enforce this Lease or to determine the rights of the Parties arising out of this Lease, the</w:t>
      </w:r>
      <w:r>
        <w:t xml:space="preserve"> </w:t>
      </w:r>
      <w:r>
        <w:rPr>
          <w:bCs/>
          <w:b/>
        </w:rPr>
        <w:t xml:space="preserve">prevailing party</w:t>
      </w:r>
      <w:r>
        <w:t xml:space="preserve"> </w:t>
      </w:r>
      <w:r>
        <w:t xml:space="preserve">shall be entitled to recover its reasonable attorney fees and court costs, to the extent allowed by Montana law. In actions regarding wrongful withholding of a security deposit, attorney fees may be awarded as provided in</w:t>
      </w:r>
      <w:r>
        <w:t xml:space="preserve"> </w:t>
      </w:r>
      <w:hyperlink r:id="rId43">
        <w:r>
          <w:rPr>
            <w:rStyle w:val="Hyperlink"/>
          </w:rPr>
          <w:t xml:space="preserve">MCA § 70‑25‑204</w:t>
        </w:r>
      </w:hyperlink>
      <w:r>
        <w:t xml:space="preserve">.</w:t>
      </w:r>
    </w:p>
    <w:p>
      <w:r>
        <w:pict>
          <v:rect style="width:0;height:1.5pt" o:hralign="center" o:hrstd="t" o:hr="t"/>
        </w:pict>
      </w:r>
    </w:p>
    <w:bookmarkEnd w:id="44"/>
    <w:bookmarkStart w:id="45" w:name="notices"/>
    <w:p>
      <w:pPr>
        <w:pStyle w:val="Heading2"/>
      </w:pPr>
      <w:r>
        <w:t xml:space="preserve">11. Notices</w:t>
      </w:r>
    </w:p>
    <w:p>
      <w:pPr>
        <w:pStyle w:val="FirstParagraph"/>
      </w:pPr>
      <w:r>
        <w:t xml:space="preserve">11.1</w:t>
      </w:r>
      <w:r>
        <w:t xml:space="preserve"> </w:t>
      </w:r>
      <w:r>
        <w:rPr>
          <w:bCs/>
          <w:b/>
        </w:rPr>
        <w:t xml:space="preserve">Form of Notice.</w:t>
      </w:r>
      <w:r>
        <w:t xml:space="preserve"> </w:t>
      </w:r>
      <w:r>
        <w:t xml:space="preserve">Except where oral notice is allowed by law for emergencies, all notices under this Lease shall be in writing and delivered personally, by U.S. Mail, or by email/text if specifically agreed and addresses are listed below.</w:t>
      </w:r>
    </w:p>
    <w:p>
      <w:pPr>
        <w:pStyle w:val="BodyText"/>
      </w:pPr>
      <w:r>
        <w:t xml:space="preserve">11.2</w:t>
      </w:r>
      <w:r>
        <w:t xml:space="preserve"> </w:t>
      </w:r>
      <w:r>
        <w:rPr>
          <w:bCs/>
          <w:b/>
        </w:rPr>
        <w:t xml:space="preserve">Addresses.</w:t>
      </w:r>
      <w:r>
        <w:br/>
      </w:r>
      <w:r>
        <w:t xml:space="preserve">-</w:t>
      </w:r>
      <w:r>
        <w:t xml:space="preserve"> </w:t>
      </w:r>
      <w:r>
        <w:rPr>
          <w:bCs/>
          <w:b/>
        </w:rPr>
        <w:t xml:space="preserve">Landlord mailing address:</w:t>
      </w:r>
      <w:r>
        <w:t xml:space="preserve"> </w:t>
      </w:r>
      <w:r>
        <w:t xml:space="preserve">__________________________________________</w:t>
      </w:r>
      <w:r>
        <w:br/>
      </w:r>
      <w:r>
        <w:t xml:space="preserve">-</w:t>
      </w:r>
      <w:r>
        <w:t xml:space="preserve"> </w:t>
      </w:r>
      <w:r>
        <w:rPr>
          <w:bCs/>
          <w:b/>
        </w:rPr>
        <w:t xml:space="preserve">Tenant mailing address (after move‑in):</w:t>
      </w:r>
      <w:r>
        <w:t xml:space="preserve"> </w:t>
      </w:r>
      <w:r>
        <w:t xml:space="preserve">44724 Big Meadows Rd, Proctor, MT 59929</w:t>
      </w:r>
    </w:p>
    <w:p>
      <w:pPr>
        <w:pStyle w:val="BodyText"/>
      </w:pPr>
      <w:r>
        <w:t xml:space="preserve">Email and phone contact information for routine communications may be added by separate written addendum.</w:t>
      </w:r>
    </w:p>
    <w:p>
      <w:r>
        <w:pict>
          <v:rect style="width:0;height:1.5pt" o:hralign="center" o:hrstd="t" o:hr="t"/>
        </w:pict>
      </w:r>
    </w:p>
    <w:bookmarkEnd w:id="45"/>
    <w:bookmarkStart w:id="51" w:name="general-provisions-addenda"/>
    <w:p>
      <w:pPr>
        <w:pStyle w:val="Heading2"/>
      </w:pPr>
      <w:r>
        <w:t xml:space="preserve">12. General Provisions; Addenda</w:t>
      </w:r>
    </w:p>
    <w:p>
      <w:pPr>
        <w:pStyle w:val="FirstParagraph"/>
      </w:pPr>
      <w:r>
        <w:t xml:space="preserve">12.1</w:t>
      </w:r>
      <w:r>
        <w:t xml:space="preserve"> </w:t>
      </w:r>
      <w:r>
        <w:rPr>
          <w:bCs/>
          <w:b/>
        </w:rPr>
        <w:t xml:space="preserve">Entire Agreement.</w:t>
      </w:r>
      <w:r>
        <w:t xml:space="preserve"> </w:t>
      </w:r>
      <w:r>
        <w:t xml:space="preserve">This Agreement, together with any attached addenda and disclosures (including mold disclosure, lead‑based paint disclosure, septic/well use, house rules, and condition statement), constitutes the entire agreement between the Parties and supersedes all prior oral or written agreements concerning the Premises.</w:t>
      </w:r>
    </w:p>
    <w:p>
      <w:pPr>
        <w:pStyle w:val="BodyText"/>
      </w:pPr>
      <w:r>
        <w:t xml:space="preserve">12.2</w:t>
      </w:r>
      <w:r>
        <w:t xml:space="preserve"> </w:t>
      </w:r>
      <w:r>
        <w:rPr>
          <w:bCs/>
          <w:b/>
        </w:rPr>
        <w:t xml:space="preserve">Governing Law.</w:t>
      </w:r>
      <w:r>
        <w:t xml:space="preserve"> </w:t>
      </w:r>
      <w:r>
        <w:t xml:space="preserve">This Lease is governed by the laws of the State of Montana, including the Montana Residential Landlord and Tenant Act, MCA Title 70, Chapter 24 (</w:t>
      </w:r>
      <w:hyperlink r:id="rId20">
        <w:r>
          <w:rPr>
            <w:rStyle w:val="Hyperlink"/>
          </w:rPr>
          <w:t xml:space="preserve">MCA Title 70, Chapter 24 – Table of Contents</w:t>
        </w:r>
      </w:hyperlink>
      <w:r>
        <w:t xml:space="preserve">).</w:t>
      </w:r>
    </w:p>
    <w:p>
      <w:pPr>
        <w:pStyle w:val="BodyText"/>
      </w:pPr>
      <w:r>
        <w:t xml:space="preserve">12.3</w:t>
      </w:r>
      <w:r>
        <w:t xml:space="preserve"> </w:t>
      </w:r>
      <w:r>
        <w:rPr>
          <w:bCs/>
          <w:b/>
        </w:rPr>
        <w:t xml:space="preserve">Severability.</w:t>
      </w:r>
      <w:r>
        <w:t xml:space="preserve"> </w:t>
      </w:r>
      <w:r>
        <w:t xml:space="preserve">If any provision of this Lease is held invalid or unenforceable under Montana law, the remaining provisions remain in full force and effect.</w:t>
      </w:r>
    </w:p>
    <w:p>
      <w:pPr>
        <w:pStyle w:val="BodyText"/>
      </w:pPr>
      <w:r>
        <w:t xml:space="preserve">12.4</w:t>
      </w:r>
      <w:r>
        <w:t xml:space="preserve"> </w:t>
      </w:r>
      <w:r>
        <w:rPr>
          <w:bCs/>
          <w:b/>
        </w:rPr>
        <w:t xml:space="preserve">No Waiver.</w:t>
      </w:r>
      <w:r>
        <w:t xml:space="preserve"> </w:t>
      </w:r>
      <w:r>
        <w:t xml:space="preserve">Landlord’s acceptance of late or partial payments or failure to enforce any term shall not be a waiver of Landlord’s rights under this Lease or applicable law.</w:t>
      </w:r>
    </w:p>
    <w:p>
      <w:pPr>
        <w:pStyle w:val="BodyText"/>
      </w:pPr>
      <w:r>
        <w:t xml:space="preserve">12.5</w:t>
      </w:r>
      <w:r>
        <w:t xml:space="preserve"> </w:t>
      </w:r>
      <w:r>
        <w:rPr>
          <w:bCs/>
          <w:b/>
        </w:rPr>
        <w:t xml:space="preserve">Addenda and Disclosures.</w:t>
      </w:r>
      <w:r>
        <w:t xml:space="preserve"> </w:t>
      </w:r>
      <w:r>
        <w:t xml:space="preserve">The following addenda and disclosures are attached to and made part of this Lease. Each must be separately initialed or signed by all Tenants:</w:t>
      </w:r>
      <w:r>
        <w:br/>
      </w:r>
      <w:r>
        <w:t xml:space="preserve">-</w:t>
      </w:r>
      <w:r>
        <w:t xml:space="preserve"> </w:t>
      </w:r>
      <w:hyperlink r:id="rId46">
        <w:r>
          <w:rPr>
            <w:rStyle w:val="Hyperlink"/>
            <w:bCs/>
            <w:b/>
          </w:rPr>
          <w:t xml:space="preserve">Mold Disclosure Addendum</w:t>
        </w:r>
      </w:hyperlink>
      <w:r>
        <w:t xml:space="preserve"> </w:t>
      </w:r>
      <w:r>
        <w:t xml:space="preserve">(pursuant to</w:t>
      </w:r>
      <w:r>
        <w:t xml:space="preserve"> </w:t>
      </w:r>
      <w:hyperlink r:id="rId40">
        <w:r>
          <w:rPr>
            <w:rStyle w:val="Hyperlink"/>
          </w:rPr>
          <w:t xml:space="preserve">MCA § 70‑16‑703</w:t>
        </w:r>
      </w:hyperlink>
      <w:r>
        <w:t xml:space="preserve">)</w:t>
      </w:r>
      <w:r>
        <w:br/>
      </w:r>
      <w:r>
        <w:t xml:space="preserve">-</w:t>
      </w:r>
      <w:r>
        <w:t xml:space="preserve"> </w:t>
      </w:r>
      <w:hyperlink r:id="rId47">
        <w:r>
          <w:rPr>
            <w:rStyle w:val="Hyperlink"/>
            <w:bCs/>
            <w:b/>
          </w:rPr>
          <w:t xml:space="preserve">Lead‑Based Paint Disclosure Addendum</w:t>
        </w:r>
      </w:hyperlink>
      <w:r>
        <w:t xml:space="preserve"> </w:t>
      </w:r>
      <w:r>
        <w:t xml:space="preserve">(for pre‑1978 housing)</w:t>
      </w:r>
      <w:r>
        <w:br/>
      </w:r>
      <w:r>
        <w:t xml:space="preserve">-</w:t>
      </w:r>
      <w:r>
        <w:t xml:space="preserve"> </w:t>
      </w:r>
      <w:hyperlink r:id="rId48">
        <w:r>
          <w:rPr>
            <w:rStyle w:val="Hyperlink"/>
            <w:bCs/>
            <w:b/>
          </w:rPr>
          <w:t xml:space="preserve">Septic and Well Use Addendum</w:t>
        </w:r>
      </w:hyperlink>
      <w:r>
        <w:t xml:space="preserve"> </w:t>
      </w:r>
      <w:r>
        <w:t xml:space="preserve">-</w:t>
      </w:r>
      <w:r>
        <w:t xml:space="preserve"> </w:t>
      </w:r>
      <w:hyperlink r:id="rId49">
        <w:r>
          <w:rPr>
            <w:rStyle w:val="Hyperlink"/>
            <w:bCs/>
            <w:b/>
          </w:rPr>
          <w:t xml:space="preserve">House Rules / Property Rules Addendum</w:t>
        </w:r>
      </w:hyperlink>
      <w:r>
        <w:t xml:space="preserve"> </w:t>
      </w:r>
      <w:r>
        <w:t xml:space="preserve">-</w:t>
      </w:r>
      <w:r>
        <w:t xml:space="preserve"> </w:t>
      </w:r>
      <w:hyperlink r:id="rId50">
        <w:r>
          <w:rPr>
            <w:rStyle w:val="Hyperlink"/>
            <w:bCs/>
            <w:b/>
          </w:rPr>
          <w:t xml:space="preserve">Statement of Condition / Move‑In Checklist</w:t>
        </w:r>
      </w:hyperlink>
      <w:r>
        <w:t xml:space="preserve"> </w:t>
      </w:r>
      <w:r>
        <w:t xml:space="preserve">(pursuant to</w:t>
      </w:r>
      <w:r>
        <w:t xml:space="preserve"> </w:t>
      </w:r>
      <w:hyperlink r:id="rId28">
        <w:r>
          <w:rPr>
            <w:rStyle w:val="Hyperlink"/>
          </w:rPr>
          <w:t xml:space="preserve">MCA § 70‑25‑206</w:t>
        </w:r>
      </w:hyperlink>
      <w:r>
        <w:t xml:space="preserve">)</w:t>
      </w:r>
    </w:p>
    <w:p>
      <w:r>
        <w:pict>
          <v:rect style="width:0;height:1.5pt" o:hralign="center" o:hrstd="t" o:hr="t"/>
        </w:pict>
      </w:r>
    </w:p>
    <w:bookmarkEnd w:id="51"/>
    <w:bookmarkStart w:id="52" w:name="signatures"/>
    <w:p>
      <w:pPr>
        <w:pStyle w:val="Heading2"/>
      </w:pPr>
      <w:r>
        <w:t xml:space="preserve">13. Signatures</w:t>
      </w:r>
    </w:p>
    <w:p>
      <w:pPr>
        <w:pStyle w:val="FirstParagraph"/>
      </w:pPr>
      <w:r>
        <w:t xml:space="preserve">IN WITNESS WHEREOF, the Parties have executed this Residential Lease Agreement as of the dates written below.</w:t>
      </w:r>
    </w:p>
    <w:p>
      <w:pPr>
        <w:pStyle w:val="BodyText"/>
      </w:pPr>
      <w:r>
        <w:rPr>
          <w:bCs/>
          <w:b/>
        </w:rPr>
        <w:t xml:space="preserve">LANDLORD:</w:t>
      </w:r>
      <w:r>
        <w:br/>
      </w:r>
      <w:r>
        <w:t xml:space="preserve">________________________________________</w:t>
      </w:r>
      <w:r>
        <w:br/>
      </w:r>
      <w:r>
        <w:t xml:space="preserve">Michael Kyle Chandler, Landlord</w:t>
      </w:r>
      <w:r>
        <w:br/>
      </w:r>
      <w:r>
        <w:t xml:space="preserve">Date: _________________________________</w:t>
      </w:r>
    </w:p>
    <w:p>
      <w:pPr>
        <w:pStyle w:val="BodyText"/>
      </w:pPr>
      <w:r>
        <w:rPr>
          <w:bCs/>
          <w:b/>
        </w:rPr>
        <w:t xml:space="preserve">TENANTS:</w:t>
      </w:r>
      <w:r>
        <w:br/>
      </w:r>
      <w:r>
        <w:t xml:space="preserve">________________________________________</w:t>
      </w:r>
      <w:r>
        <w:br/>
      </w:r>
      <w:r>
        <w:t xml:space="preserve">Malcom Smith, Tenant</w:t>
      </w:r>
      <w:r>
        <w:br/>
      </w:r>
      <w:r>
        <w:t xml:space="preserve">Date: _________________________________</w:t>
      </w:r>
    </w:p>
    <w:p>
      <w:r>
        <w:pict>
          <v:rect style="width:0;height:1.5pt" o:hralign="center" o:hrstd="t" o:hr="t"/>
        </w:pict>
      </w:r>
    </w:p>
    <w:p>
      <w:pPr>
        <w:pStyle w:val="FirstParagraph"/>
      </w:pPr>
      <w:r>
        <w:t xml:space="preserve">Angie Smith, Tenant</w:t>
      </w:r>
      <w:r>
        <w:br/>
      </w:r>
      <w:r>
        <w:t xml:space="preserve">Date: _________________________________</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ouse%20&amp;%20Property%20Rules%20Addendum.md" TargetMode="External" /><Relationship Type="http://schemas.openxmlformats.org/officeDocument/2006/relationships/hyperlink" Id="rId47" Target="Lead&#8209;Based%20Paint%20Disclosure%20Addendum.md" TargetMode="External" /><Relationship Type="http://schemas.openxmlformats.org/officeDocument/2006/relationships/hyperlink" Id="rId46" Target="Mold%20Disclosure%20Addendum.md" TargetMode="External" /><Relationship Type="http://schemas.openxmlformats.org/officeDocument/2006/relationships/hyperlink" Id="rId48" Target="Septic%20and%20Well%20Use%20Addendum.md" TargetMode="External" /><Relationship Type="http://schemas.openxmlformats.org/officeDocument/2006/relationships/hyperlink" Id="rId50" Target="StatementOfCondition_44724-Big-Meadows.md" TargetMode="External" /><Relationship Type="http://schemas.openxmlformats.org/officeDocument/2006/relationships/hyperlink" Id="rId25" Target="https://archive.legmt.gov/bills/1997/mca/27/1/27-1-717.htm" TargetMode="External" /><Relationship Type="http://schemas.openxmlformats.org/officeDocument/2006/relationships/hyperlink" Id="rId42" Target="https://archive.legmt.gov/bills/2005/mca/70/24/70-24-422.htm" TargetMode="External" /><Relationship Type="http://schemas.openxmlformats.org/officeDocument/2006/relationships/hyperlink" Id="rId40" Target="https://archive.legmt.gov/bills/mca/title_0700/chapter_0160/part_0070/section_0030/0700-0160-0070-0030.html" TargetMode="External" /><Relationship Type="http://schemas.openxmlformats.org/officeDocument/2006/relationships/hyperlink" Id="rId23" Target="https://archive.legmt.gov/bills/mca/title_0700/chapter_0240/part_0020/section_0010/0700-0240-0020-0010.html" TargetMode="External" /><Relationship Type="http://schemas.openxmlformats.org/officeDocument/2006/relationships/hyperlink" Id="rId36" Target="https://archive.legmt.gov/bills/mca/title_0700/chapter_0240/part_0020/section_0020/0700-0240-0020-0020.html" TargetMode="External" /><Relationship Type="http://schemas.openxmlformats.org/officeDocument/2006/relationships/hyperlink" Id="rId21" Target="https://archive.legmt.gov/bills/mca/title_0700/chapter_0240/part_0030/section_0010/0700-0240-0030-0010.html" TargetMode="External" /><Relationship Type="http://schemas.openxmlformats.org/officeDocument/2006/relationships/hyperlink" Id="rId32" Target="https://archive.legmt.gov/bills/mca/title_0700/chapter_0240/part_0030/section_0030/0700-0240-0030-0030.html" TargetMode="External" /><Relationship Type="http://schemas.openxmlformats.org/officeDocument/2006/relationships/hyperlink" Id="rId34" Target="https://archive.legmt.gov/bills/mca/title_0700/chapter_0240/part_0030/section_0120/0700-0240-0030-0120.html" TargetMode="External" /><Relationship Type="http://schemas.openxmlformats.org/officeDocument/2006/relationships/hyperlink" Id="rId29" Target="https://archive.legmt.gov/bills/mca/title_0700/chapter_0240/part_0040/section_0060/0700-0240-0040-0060.html" TargetMode="External" /><Relationship Type="http://schemas.openxmlformats.org/officeDocument/2006/relationships/hyperlink" Id="rId30" Target="https://archive.legmt.gov/bills/mca/title_0700/chapter_0240/part_0040/sections_index.html" TargetMode="External" /><Relationship Type="http://schemas.openxmlformats.org/officeDocument/2006/relationships/hyperlink" Id="rId20" Target="https://archive.legmt.gov/bills/mca/title_0700/chapter_0240/parts_index.html" TargetMode="External" /><Relationship Type="http://schemas.openxmlformats.org/officeDocument/2006/relationships/hyperlink" Id="rId26" Target="https://archive.legmt.gov/bills/mca/title_0700/chapter_0250/part_0020/section_0010/0700-0250-0020-0010.html" TargetMode="External" /><Relationship Type="http://schemas.openxmlformats.org/officeDocument/2006/relationships/hyperlink" Id="rId27" Target="https://archive.legmt.gov/bills/mca/title_0700/chapter_0250/part_0020/section_0020/0700-0250-0020-0020.html" TargetMode="External" /><Relationship Type="http://schemas.openxmlformats.org/officeDocument/2006/relationships/hyperlink" Id="rId43" Target="https://archive.legmt.gov/bills/mca/title_0700/chapter_0250/part_0020/section_0040/0700-0250-0020-0040.html" TargetMode="External" /><Relationship Type="http://schemas.openxmlformats.org/officeDocument/2006/relationships/hyperlink" Id="rId28" Target="https://archive.legmt.gov/bills/mca/title_0700/chapter_0250/part_0020/section_0060/0700-0250-0020-0060.html" TargetMode="External" /></Relationships>
</file>

<file path=word/_rels/footnotes.xml.rels><?xml version="1.0" encoding="UTF-8"?><Relationships xmlns="http://schemas.openxmlformats.org/package/2006/relationships"><Relationship Type="http://schemas.openxmlformats.org/officeDocument/2006/relationships/hyperlink" Id="rId49" Target="House%20&amp;%20Property%20Rules%20Addendum.md" TargetMode="External" /><Relationship Type="http://schemas.openxmlformats.org/officeDocument/2006/relationships/hyperlink" Id="rId47" Target="Lead&#8209;Based%20Paint%20Disclosure%20Addendum.md" TargetMode="External" /><Relationship Type="http://schemas.openxmlformats.org/officeDocument/2006/relationships/hyperlink" Id="rId46" Target="Mold%20Disclosure%20Addendum.md" TargetMode="External" /><Relationship Type="http://schemas.openxmlformats.org/officeDocument/2006/relationships/hyperlink" Id="rId48" Target="Septic%20and%20Well%20Use%20Addendum.md" TargetMode="External" /><Relationship Type="http://schemas.openxmlformats.org/officeDocument/2006/relationships/hyperlink" Id="rId50" Target="StatementOfCondition_44724-Big-Meadows.md" TargetMode="External" /><Relationship Type="http://schemas.openxmlformats.org/officeDocument/2006/relationships/hyperlink" Id="rId25" Target="https://archive.legmt.gov/bills/1997/mca/27/1/27-1-717.htm" TargetMode="External" /><Relationship Type="http://schemas.openxmlformats.org/officeDocument/2006/relationships/hyperlink" Id="rId42" Target="https://archive.legmt.gov/bills/2005/mca/70/24/70-24-422.htm" TargetMode="External" /><Relationship Type="http://schemas.openxmlformats.org/officeDocument/2006/relationships/hyperlink" Id="rId40" Target="https://archive.legmt.gov/bills/mca/title_0700/chapter_0160/part_0070/section_0030/0700-0160-0070-0030.html" TargetMode="External" /><Relationship Type="http://schemas.openxmlformats.org/officeDocument/2006/relationships/hyperlink" Id="rId23" Target="https://archive.legmt.gov/bills/mca/title_0700/chapter_0240/part_0020/section_0010/0700-0240-0020-0010.html" TargetMode="External" /><Relationship Type="http://schemas.openxmlformats.org/officeDocument/2006/relationships/hyperlink" Id="rId36" Target="https://archive.legmt.gov/bills/mca/title_0700/chapter_0240/part_0020/section_0020/0700-0240-0020-0020.html" TargetMode="External" /><Relationship Type="http://schemas.openxmlformats.org/officeDocument/2006/relationships/hyperlink" Id="rId21" Target="https://archive.legmt.gov/bills/mca/title_0700/chapter_0240/part_0030/section_0010/0700-0240-0030-0010.html" TargetMode="External" /><Relationship Type="http://schemas.openxmlformats.org/officeDocument/2006/relationships/hyperlink" Id="rId32" Target="https://archive.legmt.gov/bills/mca/title_0700/chapter_0240/part_0030/section_0030/0700-0240-0030-0030.html" TargetMode="External" /><Relationship Type="http://schemas.openxmlformats.org/officeDocument/2006/relationships/hyperlink" Id="rId34" Target="https://archive.legmt.gov/bills/mca/title_0700/chapter_0240/part_0030/section_0120/0700-0240-0030-0120.html" TargetMode="External" /><Relationship Type="http://schemas.openxmlformats.org/officeDocument/2006/relationships/hyperlink" Id="rId29" Target="https://archive.legmt.gov/bills/mca/title_0700/chapter_0240/part_0040/section_0060/0700-0240-0040-0060.html" TargetMode="External" /><Relationship Type="http://schemas.openxmlformats.org/officeDocument/2006/relationships/hyperlink" Id="rId30" Target="https://archive.legmt.gov/bills/mca/title_0700/chapter_0240/part_0040/sections_index.html" TargetMode="External" /><Relationship Type="http://schemas.openxmlformats.org/officeDocument/2006/relationships/hyperlink" Id="rId20" Target="https://archive.legmt.gov/bills/mca/title_0700/chapter_0240/parts_index.html" TargetMode="External" /><Relationship Type="http://schemas.openxmlformats.org/officeDocument/2006/relationships/hyperlink" Id="rId26" Target="https://archive.legmt.gov/bills/mca/title_0700/chapter_0250/part_0020/section_0010/0700-0250-0020-0010.html" TargetMode="External" /><Relationship Type="http://schemas.openxmlformats.org/officeDocument/2006/relationships/hyperlink" Id="rId27" Target="https://archive.legmt.gov/bills/mca/title_0700/chapter_0250/part_0020/section_0020/0700-0250-0020-0020.html" TargetMode="External" /><Relationship Type="http://schemas.openxmlformats.org/officeDocument/2006/relationships/hyperlink" Id="rId43" Target="https://archive.legmt.gov/bills/mca/title_0700/chapter_0250/part_0020/section_0040/0700-0250-0020-0040.html" TargetMode="External" /><Relationship Type="http://schemas.openxmlformats.org/officeDocument/2006/relationships/hyperlink" Id="rId28" Target="https://archive.legmt.gov/bills/mca/title_0700/chapter_0250/part_0020/section_0060/0700-0250-0020-006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2025-12-30T06:18:09Z</dcterms:created>
  <dcterms:modified xsi:type="dcterms:W3CDTF">2025-12-30T06:18:09Z</dcterms:modified>
</cp:coreProperties>
</file>

<file path=docProps/custom.xml><?xml version="1.0" encoding="utf-8"?>
<Properties xmlns="http://schemas.openxmlformats.org/officeDocument/2006/custom-properties" xmlns:vt="http://schemas.openxmlformats.org/officeDocument/2006/docPropsVTypes"/>
</file>