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E76240" w14:textId="4240BD5F" w:rsidR="009303D9" w:rsidRPr="008B6524" w:rsidRDefault="00743031" w:rsidP="008B6524">
      <w:pPr>
        <w:pStyle w:val="papertitle"/>
        <w:spacing w:before="100" w:beforeAutospacing="1" w:after="100" w:afterAutospacing="1"/>
        <w:jc w:val="center"/>
        <w:rPr>
          <w:kern w:val="48"/>
        </w:rPr>
      </w:pPr>
      <w:r>
        <w:t>GPU-Accelerated Reinforcement Learning and Graph-Based Network Encoding for MATSim Large-Scale Charging Infrastructure Simulations</w:t>
      </w:r>
    </w:p>
    <w:p w14:paraId="7C5D2A75" w14:textId="44E07694" w:rsidR="003260B3" w:rsidRPr="009F775C" w:rsidRDefault="009F775C" w:rsidP="009F775C">
      <w:pPr>
        <w:pStyle w:val="Author"/>
        <w:spacing w:before="100" w:beforeAutospacing="1"/>
        <w:rPr>
          <w:rFonts w:eastAsiaTheme="minorEastAsia"/>
          <w:sz w:val="18"/>
          <w:szCs w:val="18"/>
          <w:lang w:eastAsia="ja-JP"/>
        </w:rPr>
        <w:sectPr w:rsidR="003260B3" w:rsidRPr="009F775C" w:rsidSect="003260B3">
          <w:footerReference w:type="first" r:id="rId11"/>
          <w:type w:val="continuous"/>
          <w:pgSz w:w="11906" w:h="16838" w:code="9"/>
          <w:pgMar w:top="1080" w:right="907" w:bottom="1440" w:left="907" w:header="720" w:footer="720" w:gutter="0"/>
          <w:cols w:space="360"/>
          <w:docGrid w:linePitch="360"/>
        </w:sectPr>
      </w:pPr>
      <w:r w:rsidRPr="009F775C">
        <w:rPr>
          <w:rFonts w:eastAsiaTheme="minorEastAsia"/>
          <w:sz w:val="18"/>
          <w:szCs w:val="18"/>
          <w:lang w:eastAsia="ja-JP"/>
        </w:rPr>
        <w:t xml:space="preserve">Track * (Please replace * with </w:t>
      </w:r>
      <w:r w:rsidR="009F3FE4">
        <w:rPr>
          <w:rFonts w:eastAsiaTheme="minorEastAsia" w:hint="eastAsia"/>
          <w:sz w:val="18"/>
          <w:szCs w:val="18"/>
          <w:lang w:eastAsia="ja-JP"/>
        </w:rPr>
        <w:t xml:space="preserve">your </w:t>
      </w:r>
      <w:r w:rsidRPr="009F775C">
        <w:rPr>
          <w:rFonts w:eastAsiaTheme="minorEastAsia"/>
          <w:sz w:val="18"/>
          <w:szCs w:val="18"/>
          <w:lang w:eastAsia="ja-JP"/>
        </w:rPr>
        <w:t>track number)</w:t>
      </w:r>
    </w:p>
    <w:p w14:paraId="1A7A6FE4" w14:textId="77777777" w:rsidR="003260B3" w:rsidRPr="003260B3" w:rsidRDefault="003260B3" w:rsidP="003260B3">
      <w:pPr>
        <w:pStyle w:val="Abstract"/>
        <w:ind w:firstLine="0"/>
        <w:rPr>
          <w:rFonts w:eastAsiaTheme="minorEastAsia"/>
          <w:i/>
          <w:iCs/>
          <w:lang w:eastAsia="ja-JP"/>
        </w:rPr>
        <w:sectPr w:rsidR="003260B3" w:rsidRPr="003260B3" w:rsidSect="003B4E04">
          <w:type w:val="continuous"/>
          <w:pgSz w:w="11906" w:h="16838" w:code="9"/>
          <w:pgMar w:top="1080" w:right="907" w:bottom="1440" w:left="907" w:header="720" w:footer="720" w:gutter="0"/>
          <w:cols w:num="2" w:space="360"/>
          <w:docGrid w:linePitch="360"/>
        </w:sectPr>
      </w:pPr>
    </w:p>
    <w:p w14:paraId="08A14A97" w14:textId="77AB2F59" w:rsidR="004D72B5" w:rsidRPr="009D1D79" w:rsidRDefault="009303D9" w:rsidP="00972203">
      <w:pPr>
        <w:pStyle w:val="Abstract"/>
        <w:rPr>
          <w:rFonts w:eastAsiaTheme="minorEastAsia"/>
          <w:i/>
          <w:iCs/>
          <w:lang w:eastAsia="ja-JP"/>
        </w:rPr>
      </w:pPr>
      <w:r>
        <w:rPr>
          <w:i/>
        </w:rPr>
        <w:t>Abstract—</w:t>
      </w:r>
      <w:r>
        <w:t xml:space="preserve"> We present a CUDA-enabled reinforcement learning (RL) framework that embeds MATSim directly inside a Proximal Policy Optimization (PPO) training loop and encodes the transport network with a graph-based Transformer. The system replaces an external reward-server architecture with an in-process JPype launcher and a shaded jar, eliminates socket serialization, and keeps observations/actions on GPU to minimize host–device transfers. A fixed-size GraphGPS encoder enables automatic mixed precision and CUDA graph capture for high throughput. The pipeline records deterministic run manifests and read-only TensorBoard telemetry for reproducibility. Preliminary measurements show large reductions in I/O overhead and improved scalability for city-scale scenarios on commodity RTX hardware. Policy benchmarking and charger-placement results are addressed in a companion study; here we document the engineering design, runtime behavior, and practical considerations needed to make large-scale RL with MATSim tractable.</w:t>
      </w:r>
    </w:p>
    <w:p>
      <w:pPr>
        <w:pStyle w:val="1"/>
      </w:pPr>
      <w:r>
        <w:t>Introduction</w:t>
      </w:r>
    </w:p>
    <w:p>
      <w:r>
        <w:t>Using MATSim with PPO via a reward server incurs substantial overhead: each rollout serializes simulator state, ships it to an HTTP endpoint, and deserializes outputs before policy updates. This produces long iteration times, large transient files, and poor GPU utilization. Our goal is to (i) keep simulation and learning in a single process to remove socket and file I/O, (ii) represent network structure natively with a graph encoder to reduce sample complexity, and (iii) make experimentation reproducible on both laptops and workstations.</w:t>
      </w:r>
    </w:p>
    <w:p>
      <w:pPr>
        <w:pStyle w:val="1"/>
      </w:pPr>
      <w:r>
        <w:t>System Architecture</w:t>
      </w:r>
    </w:p>
    <w:p>
      <w:r>
        <w:t>The framework has three pillars. First, a shaded rlev-uber.jar and an in-process JPype launcher co-locate PPO and MATSim in one failure domain and memory space. Second, a GraphGPS Transformer encodes the MATSim network into a fixed-shape CUDA tensor, enabling automatic mixed precision (AMP) and CUDA graph capture. Third, a reproducible training stack patches Stable-Baselines3 buffers so observations, actions, and advantages remain on device, while a read-only TensorBoard callback and per-run manifest (seeds, hardware, jar checksums, driver/toolkit versions) enable exact replay.</w:t>
      </w:r>
    </w:p>
    <w:p>
      <w:pPr>
        <w:pStyle w:val="1"/>
      </w:pPr>
      <w:r>
        <w:t>Observation Encoding (GraphGPS)</w:t>
      </w:r>
    </w:p>
    <w:p>
      <w:r>
        <w:t>Dense hand-crafted vectors underutilize topology and can slow convergence. We instead construct a fixed-K line-graph sample emphasizing high-throughput corridors; three GIN blocks capture local mixing, and multi-head self-attention provides global context. Mean/max pooling yields a user-specified embedding dimension. Charger-level features (e.g., occupancy) are concatenated before policy/value heads. Fixed shapes are essential for Stable-Baselines3 and allow efficient CUDA graph capture. AMP is used by default with automatic step-level fallback to fp32 on any NaN.</w:t>
      </w:r>
    </w:p>
    <w:p>
      <w:pPr>
        <w:pStyle w:val="1"/>
      </w:pPr>
      <w:r>
        <w:t>PPO Loop and MATSim Integration</w:t>
      </w:r>
    </w:p>
    <w:p>
      <w:r>
        <w:t>Each rollout step: (1) GraphGPS produces an embedding on GPU; (2) the policy samples a MultiDiscrete action vector; (3) actions are converted to Java enums via JPype and applied to a sandboxed MATSim scenario; (4) an in-memory RewardProbe aggregates EV telemetry (energy delivered, queue wait, CAPEX) and computes a scalar reward; (5) the GPU-resident buffer stores tuples for batched PPO updates under AMP. After warm-up, we capture the forward passes of the encoder and policy with CUDA graphs to reduce launch overhead.</w:t>
      </w:r>
    </w:p>
    <w:p>
      <w:pPr>
        <w:pStyle w:val="1"/>
      </w:pPr>
      <w:r>
        <w:t>Performance &amp; Reproducibility</w:t>
      </w:r>
    </w:p>
    <w:p>
      <w:r>
        <w:t>Compared with the reward-server design, the embedded loop emits only compact telemetry and avoids multi-GB per-step artifacts. Memory scales chiefly with agents and observation tensors. Determinism is achieved by propagating a single seed to Python, NumPy, PyTorch, Gymnasium, and Java (java.util.Random), running each scenario in an isolated sandbox, and recording run manifests. Preliminary measurements on commodity GPUs indicate markedly higher throughput and lower I/O time; full policy comparisons are reserved for the companion paper.</w:t>
      </w:r>
    </w:p>
    <w:p>
      <w:pPr>
        <w:pStyle w:val="1"/>
      </w:pPr>
      <w:r>
        <w:t>Limitations and Future Work</w:t>
      </w:r>
    </w:p>
    <w:p>
      <w:r>
        <w:t>Some MATSim modules still write to disk; where possible we disable or down-sample these outputs. The current top-K line-graph sampler is simple; adaptive sampling based on predicted demand and congestion is planned. Expanded ablations on encoder depth/width, K selection, and AMP/graph-capture thresholds will be included in the camera-ready version.</w:t>
      </w:r>
    </w:p>
    <w:p>
      <w:pPr>
        <w:pStyle w:val="1"/>
      </w:pPr>
      <w:r>
        <w:t>Conclusion</w:t>
      </w:r>
    </w:p>
    <w:p>
      <w:r>
        <w:t>By eliminating socket I/O, adopting GPU-resident rollouts, and introducing a graph-native observation encoder, we make city-scale RL with MATSim practical on widely available RTX hardware. The framework improves throughput, observability, and reproducibility, and provides the foundation for larger geographic scopes and agent counts.</w:t>
      </w:r>
    </w:p>
    <w:p>
      <w:pPr>
        <w:pStyle w:val="5"/>
      </w:pPr>
      <w:r>
        <w:t>Acknowledgment</w:t>
      </w:r>
    </w:p>
    <w:p>
      <w:r>
        <w:t>We thank collaborators and reviewers who provided feedback on early prototypes of this framework.</w:t>
      </w:r>
    </w:p>
    <w:p>
      <w:pPr>
        <w:pStyle w:val="1"/>
      </w:pPr>
      <w:r>
        <w:t>References</w:t>
      </w:r>
    </w:p>
    <w:p>
      <w:r>
        <w:t>[1] A. Horni, K. Nagel, K. W. Axhausen, Multi-Agent Transport Simulation MATSim. Ubiquity Press, 2016.</w:t>
      </w:r>
    </w:p>
    <w:p>
      <w:r>
        <w:t>[2] A. Raffin et al., Stable-Baselines3: Reliable Reinforcement Learning Implementations. JMLR, 2021.</w:t>
      </w:r>
    </w:p>
    <w:p>
      <w:r>
        <w:t>[3] M. Towers et al., Gymnasium: A Standard Interface for Reinforcement Learning Environments, 2024.</w:t>
      </w:r>
    </w:p>
    <w:p>
      <w:r>
        <w:t>[4] M. Fey, J. E. Lenssen, Fast Graph Representation Learning with PyTorch Geometric, ICLR Workshop, 2019.</w:t>
      </w:r>
    </w:p>
    <w:p>
      <w:r>
        <w:t>[5] O. Rampášek et al., Recipe for a General, Powerful, Scalable Graph Transformer, NeurIPS, 2022.</w:t>
      </w:r>
    </w:p>
    <w:p>
      <w:r>
        <w:t>[6] A. Paszke et al., PyTorch: An Imperative Style, High-Performance Deep Learning Library, NeurIPS, 2019.</w:t>
      </w:r>
    </w:p>
    <w:p>
      <w:r>
        <w:t>[7] JPype Contributors, JPype User Guide.</w:t>
      </w:r>
    </w:p>
    <w:p w14:paraId="2EB746BE" w14:textId="31067064" w:rsidR="009303D9" w:rsidRPr="009D1D79" w:rsidRDefault="004D72B5" w:rsidP="00972203">
      <w:pPr>
        <w:pStyle w:val="Keywords"/>
      </w:pPr>
      <w:r>
        <w:rPr>
          <w:i/>
        </w:rPr>
        <w:t>Keywords—</w:t>
      </w:r>
      <w:r>
        <w:t xml:space="preserve"> Electric vehicles, GPU acceleration, MATSim, Reinforcement learning</w:t>
      </w:r>
    </w:p>
    <w:p w14:paraId="4821B03A" w14:textId="77777777" w:rsidR="009303D9" w:rsidRPr="009D1D79" w:rsidRDefault="009303D9" w:rsidP="006B6B66">
      <w:pPr>
        <w:pStyle w:val="1"/>
      </w:pPr>
      <w:r w:rsidRPr="009D1D79">
        <w:t>Introduction (</w:t>
      </w:r>
      <w:r w:rsidR="005B0344" w:rsidRPr="009D1D79">
        <w:rPr>
          <w:rFonts w:eastAsia="ＭＳ 明朝"/>
          <w:i/>
        </w:rPr>
        <w:t>Heading 1</w:t>
      </w:r>
      <w:r w:rsidRPr="009D1D79">
        <w:t>)</w:t>
      </w:r>
    </w:p>
    <w:p w14:paraId="4F728CAB" w14:textId="1F476127" w:rsidR="009303D9" w:rsidRPr="009D1D79" w:rsidRDefault="009303D9" w:rsidP="00E7596C">
      <w:pPr>
        <w:pStyle w:val="a3"/>
        <w:rPr>
          <w:rFonts w:eastAsiaTheme="minorEastAsia"/>
          <w:lang w:eastAsia="ja-JP"/>
        </w:rPr>
      </w:pPr>
      <w:r w:rsidRPr="009D1D79">
        <w:t>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2B82002F" w14:textId="77777777" w:rsidR="004D7954" w:rsidRDefault="009D4736" w:rsidP="00E7596C">
      <w:pPr>
        <w:pStyle w:val="a3"/>
        <w:rPr>
          <w:rFonts w:eastAsiaTheme="minorEastAsia"/>
          <w:lang w:eastAsia="ja-JP"/>
        </w:rPr>
      </w:pPr>
      <w:r w:rsidRPr="009D1D79">
        <w:rPr>
          <w:rFonts w:eastAsiaTheme="minorEastAsia"/>
          <w:lang w:eastAsia="ja-JP"/>
        </w:rPr>
        <w:t>For additional information not included in these instructions, please contact IPEC-N</w:t>
      </w:r>
      <w:r w:rsidR="00106A02" w:rsidRPr="009D1D79">
        <w:rPr>
          <w:rFonts w:eastAsiaTheme="minorEastAsia"/>
          <w:lang w:eastAsia="ja-JP"/>
        </w:rPr>
        <w:t>agasaki</w:t>
      </w:r>
      <w:r w:rsidRPr="009D1D79">
        <w:rPr>
          <w:rFonts w:eastAsiaTheme="minorEastAsia"/>
          <w:lang w:eastAsia="ja-JP"/>
        </w:rPr>
        <w:t xml:space="preserve"> 20</w:t>
      </w:r>
      <w:r w:rsidR="00106A02" w:rsidRPr="009D1D79">
        <w:rPr>
          <w:rFonts w:eastAsiaTheme="minorEastAsia"/>
          <w:lang w:eastAsia="ja-JP"/>
        </w:rPr>
        <w:t>26</w:t>
      </w:r>
      <w:r w:rsidRPr="009D1D79">
        <w:rPr>
          <w:rFonts w:eastAsiaTheme="minorEastAsia"/>
          <w:lang w:eastAsia="ja-JP"/>
        </w:rPr>
        <w:t xml:space="preserve"> paper submission office.</w:t>
      </w:r>
      <w:r w:rsidR="009F6EB0">
        <w:rPr>
          <w:rFonts w:eastAsiaTheme="minorEastAsia" w:hint="eastAsia"/>
          <w:lang w:eastAsia="ja-JP"/>
        </w:rPr>
        <w:t xml:space="preserve"> </w:t>
      </w:r>
    </w:p>
    <w:p w14:paraId="46038B7E" w14:textId="08B85228" w:rsidR="009D4736" w:rsidRPr="009D1D79" w:rsidRDefault="004D7954" w:rsidP="00E7596C">
      <w:pPr>
        <w:pStyle w:val="a3"/>
        <w:rPr>
          <w:rFonts w:eastAsiaTheme="minorEastAsia"/>
          <w:lang w:eastAsia="ja-JP"/>
        </w:rPr>
      </w:pPr>
      <w:r w:rsidRPr="004D7954">
        <w:rPr>
          <w:rFonts w:eastAsiaTheme="minorEastAsia"/>
          <w:lang w:eastAsia="ja-JP"/>
        </w:rPr>
        <w:t xml:space="preserve">E-mail: </w:t>
      </w:r>
      <w:r w:rsidR="001107E2" w:rsidRPr="004D7954">
        <w:rPr>
          <w:rFonts w:eastAsiaTheme="minorEastAsia"/>
          <w:lang w:eastAsia="ja-JP"/>
        </w:rPr>
        <w:t>ipec2026-p@ech.co.jp</w:t>
      </w:r>
    </w:p>
    <w:p w14:paraId="788B4FAA" w14:textId="77777777" w:rsidR="009303D9" w:rsidRPr="009D1D79" w:rsidRDefault="009303D9" w:rsidP="006B6B66">
      <w:pPr>
        <w:pStyle w:val="1"/>
      </w:pPr>
      <w:r w:rsidRPr="009D1D79">
        <w:t>Ease of Use</w:t>
      </w:r>
      <w:bookmarkStart w:id="0" w:name="_GoBack"/>
      <w:bookmarkEnd w:id="0"/>
    </w:p>
    <w:p w14:paraId="58CB881D" w14:textId="77777777" w:rsidR="009303D9" w:rsidRPr="009D1D79" w:rsidRDefault="009303D9" w:rsidP="00ED0149">
      <w:pPr>
        <w:pStyle w:val="2"/>
      </w:pPr>
      <w:r w:rsidRPr="009D1D79">
        <w:t>Maintaining the Integrity of the Specifications</w:t>
      </w:r>
    </w:p>
    <w:p w14:paraId="13319F53" w14:textId="77777777" w:rsidR="009303D9" w:rsidRPr="009D1D79" w:rsidRDefault="009303D9" w:rsidP="00E7596C">
      <w:pPr>
        <w:pStyle w:val="a3"/>
      </w:pPr>
      <w:r w:rsidRPr="009D1D79">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71B9DE02" w14:textId="77777777" w:rsidR="009303D9" w:rsidRDefault="009303D9" w:rsidP="006B6B66">
      <w:pPr>
        <w:pStyle w:val="1"/>
      </w:pPr>
      <w:r>
        <w:t xml:space="preserve">Prepare Your Paper </w:t>
      </w:r>
      <w:r w:rsidRPr="005B520E">
        <w:t>Before</w:t>
      </w:r>
      <w:r>
        <w:t xml:space="preserve"> Styling</w:t>
      </w:r>
    </w:p>
    <w:p w14:paraId="0286EF09" w14:textId="77777777" w:rsidR="00D7522C" w:rsidRPr="00D7522C" w:rsidRDefault="009303D9" w:rsidP="00E7596C">
      <w:pPr>
        <w:pStyle w:val="a3"/>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0D8CECF0" w14:textId="77777777" w:rsidR="009303D9" w:rsidRPr="005B520E" w:rsidRDefault="009303D9" w:rsidP="00E7596C">
      <w:pPr>
        <w:pStyle w:val="a3"/>
      </w:pPr>
      <w:r w:rsidRPr="005B520E">
        <w:t xml:space="preserve">Keep your text and graphic files separate until after the text has been formatted and styled. Do not use hard tabs, and limit use of hard returns to only one return at the end of a paragraph. </w:t>
      </w:r>
      <w:r w:rsidRPr="005B520E">
        <w:t>Do not add any kind of pagination anywhere in the paper. Do not number text heads-the template will do that for you.</w:t>
      </w:r>
    </w:p>
    <w:p w14:paraId="726A5D4C" w14:textId="77777777" w:rsidR="009303D9" w:rsidRDefault="009303D9" w:rsidP="00ED0149">
      <w:pPr>
        <w:pStyle w:val="2"/>
      </w:pPr>
      <w:r w:rsidRPr="00ED0149">
        <w:t>Abbreviations</w:t>
      </w:r>
      <w:r>
        <w:t xml:space="preserve"> and Acronyms</w:t>
      </w:r>
    </w:p>
    <w:p w14:paraId="758A2098" w14:textId="77777777" w:rsidR="009303D9" w:rsidRPr="005B520E" w:rsidRDefault="009303D9" w:rsidP="00E7596C">
      <w:pPr>
        <w:pStyle w:val="a3"/>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4F116E50" w14:textId="77777777" w:rsidR="009303D9" w:rsidRDefault="009303D9" w:rsidP="00ED0149">
      <w:pPr>
        <w:pStyle w:val="2"/>
      </w:pPr>
      <w:r>
        <w:t>Units</w:t>
      </w:r>
    </w:p>
    <w:p w14:paraId="6AC1E015"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2ABE6A7C" w14:textId="77777777" w:rsidR="009303D9" w:rsidRPr="005B520E" w:rsidRDefault="009303D9" w:rsidP="00E7596C">
      <w:pPr>
        <w:pStyle w:val="bulletlist"/>
      </w:pPr>
      <w:r w:rsidRPr="005B520E">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6607DD41" w14:textId="77777777" w:rsidR="009303D9" w:rsidRPr="005B520E" w:rsidRDefault="009303D9" w:rsidP="00E7596C">
      <w:pPr>
        <w:pStyle w:val="bulletlist"/>
      </w:pPr>
      <w:r w:rsidRPr="005B520E">
        <w:t>Do not mix complete spellings and abbreviations of units: “Wb/m2” or “webers per square meter”, not “webers/m2”.  Spell out units when they appear in text: “. . . a few henries”, not “. . . a few H”.</w:t>
      </w:r>
    </w:p>
    <w:p w14:paraId="56BFE805" w14:textId="77777777" w:rsidR="003B4E04" w:rsidRDefault="003B4E04" w:rsidP="003B4E04">
      <w:pPr>
        <w:pStyle w:val="sponsors"/>
        <w:framePr w:wrap="auto" w:vAnchor="page" w:hAnchor="page" w:x="918" w:y="15121"/>
        <w:ind w:firstLine="289"/>
      </w:pPr>
      <w:r>
        <w:t>Identif</w:t>
      </w:r>
      <w:r w:rsidRPr="007C0308">
        <w:t xml:space="preserve">y applicable </w:t>
      </w:r>
      <w:r>
        <w:t>funding agency</w:t>
      </w:r>
      <w:r w:rsidRPr="007C0308">
        <w:t xml:space="preserve"> here. </w:t>
      </w:r>
      <w:r>
        <w:rPr>
          <w:iCs/>
        </w:rPr>
        <w:t>If none, delete this text box</w:t>
      </w:r>
      <w:r w:rsidRPr="007C0308">
        <w:rPr>
          <w:iCs/>
        </w:rPr>
        <w:t>.</w:t>
      </w:r>
    </w:p>
    <w:p w14:paraId="1B34E6C1"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578532E8" w14:textId="77777777" w:rsidR="009303D9" w:rsidRPr="005B520E" w:rsidRDefault="009303D9" w:rsidP="00ED0149">
      <w:pPr>
        <w:pStyle w:val="2"/>
      </w:pPr>
      <w:r w:rsidRPr="005B520E">
        <w:t>Equations</w:t>
      </w:r>
    </w:p>
    <w:p w14:paraId="2BFEE259" w14:textId="77777777" w:rsidR="009303D9" w:rsidRPr="005B520E" w:rsidRDefault="009303D9" w:rsidP="00E7596C">
      <w:pPr>
        <w:pStyle w:val="a3"/>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6C3E31AB" w14:textId="77777777" w:rsidR="009303D9" w:rsidRPr="00D7522C" w:rsidRDefault="009303D9" w:rsidP="00E7596C">
      <w:pPr>
        <w:pStyle w:val="a3"/>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290455F3" w14:textId="77777777" w:rsidR="009303D9" w:rsidRPr="005B520E" w:rsidRDefault="009303D9" w:rsidP="003A19E2">
      <w:pPr>
        <w:pStyle w:val="equation"/>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26620340" w14:textId="77777777" w:rsidR="009303D9" w:rsidRDefault="009303D9" w:rsidP="00E7596C">
      <w:pPr>
        <w:pStyle w:val="a3"/>
      </w:pPr>
      <w:r>
        <w:t>Note that the equation is centered using a center tab stop. Be sure that the symbols in your equation have been defined before or immediately following the equation. Use “(1)”, not “Eq. (1)” or “equation (1)”, except at the beginning of a sentence: “Equation (1) is . . .”</w:t>
      </w:r>
    </w:p>
    <w:p w14:paraId="19237C07" w14:textId="77777777" w:rsidR="009303D9" w:rsidRDefault="009303D9" w:rsidP="00ED0149">
      <w:pPr>
        <w:pStyle w:val="2"/>
      </w:pPr>
      <w:r>
        <w:lastRenderedPageBreak/>
        <w:t>Some Common Mistakes</w:t>
      </w:r>
    </w:p>
    <w:p w14:paraId="0159E0DA" w14:textId="77777777" w:rsidR="009303D9" w:rsidRPr="005B520E" w:rsidRDefault="009303D9" w:rsidP="00E7596C">
      <w:pPr>
        <w:pStyle w:val="bulletlist"/>
      </w:pPr>
      <w:r w:rsidRPr="005B520E">
        <w:t>The word “data” is plural, not singular.</w:t>
      </w:r>
    </w:p>
    <w:p w14:paraId="7013C988"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42276B68"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7D5043AD"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0B414E52" w14:textId="77777777" w:rsidR="009303D9" w:rsidRPr="005B520E" w:rsidRDefault="009303D9" w:rsidP="00E7596C">
      <w:pPr>
        <w:pStyle w:val="bulletlist"/>
      </w:pPr>
      <w:r w:rsidRPr="005B520E">
        <w:t>Do not use the word “essentially” to mean “approximately” or “effectively”.</w:t>
      </w:r>
    </w:p>
    <w:p w14:paraId="636646AD"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65B23F1A"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022BA3A3" w14:textId="77777777" w:rsidR="009303D9" w:rsidRPr="005B520E" w:rsidRDefault="009303D9" w:rsidP="00E7596C">
      <w:pPr>
        <w:pStyle w:val="bulletlist"/>
      </w:pPr>
      <w:r w:rsidRPr="005B520E">
        <w:t>Do not confuse “imply” and “infer”.</w:t>
      </w:r>
    </w:p>
    <w:p w14:paraId="5F3159DD" w14:textId="77777777" w:rsidR="009303D9" w:rsidRPr="005B520E" w:rsidRDefault="009303D9" w:rsidP="00E7596C">
      <w:pPr>
        <w:pStyle w:val="bulletlist"/>
      </w:pPr>
      <w:r w:rsidRPr="005B520E">
        <w:t>The prefix “non” is not a word; it should be joined to the word it modifies, usually without a hyphen.</w:t>
      </w:r>
    </w:p>
    <w:p w14:paraId="03514F3B" w14:textId="77777777" w:rsidR="009303D9" w:rsidRPr="005B520E" w:rsidRDefault="009303D9" w:rsidP="00E7596C">
      <w:pPr>
        <w:pStyle w:val="bulletlist"/>
      </w:pPr>
      <w:r w:rsidRPr="005B520E">
        <w:t>There is no period after the “et” in the Latin abbreviation “et al.”.</w:t>
      </w:r>
    </w:p>
    <w:p w14:paraId="615929AD" w14:textId="77777777" w:rsidR="009303D9" w:rsidRPr="005B520E" w:rsidRDefault="009303D9" w:rsidP="00E7596C">
      <w:pPr>
        <w:pStyle w:val="bulletlist"/>
      </w:pPr>
      <w:r w:rsidRPr="005B520E">
        <w:t>The abbreviation “i.e.” means “that is”, and the abbreviation “e.g.” means “for example”.</w:t>
      </w:r>
    </w:p>
    <w:p w14:paraId="34A0C83D" w14:textId="77777777" w:rsidR="009303D9" w:rsidRPr="005B520E" w:rsidRDefault="009303D9" w:rsidP="00E7596C">
      <w:pPr>
        <w:pStyle w:val="a3"/>
      </w:pPr>
      <w:r w:rsidRPr="005B520E">
        <w:t>An excellent style manual for science writers is [7].</w:t>
      </w:r>
    </w:p>
    <w:p w14:paraId="172E9658" w14:textId="77777777" w:rsidR="009303D9" w:rsidRDefault="009303D9" w:rsidP="006B6B66">
      <w:pPr>
        <w:pStyle w:val="1"/>
      </w:pPr>
      <w:r>
        <w:t xml:space="preserve">Using the </w:t>
      </w:r>
      <w:r w:rsidRPr="005B520E">
        <w:t>Template</w:t>
      </w:r>
    </w:p>
    <w:p w14:paraId="714A5AB3" w14:textId="77777777" w:rsidR="009303D9" w:rsidRPr="005B520E" w:rsidRDefault="009303D9" w:rsidP="00E7596C">
      <w:pPr>
        <w:pStyle w:val="a3"/>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356BB68E" w14:textId="77777777" w:rsidR="009303D9" w:rsidRDefault="009303D9" w:rsidP="00ED0149">
      <w:pPr>
        <w:pStyle w:val="2"/>
      </w:pPr>
      <w:r w:rsidRPr="005B520E">
        <w:t>Identify</w:t>
      </w:r>
      <w:r>
        <w:t xml:space="preserve"> the Headings</w:t>
      </w:r>
    </w:p>
    <w:p w14:paraId="00472E0C" w14:textId="77777777" w:rsidR="009303D9" w:rsidRPr="005B520E" w:rsidRDefault="009303D9" w:rsidP="00E7596C">
      <w:pPr>
        <w:pStyle w:val="a3"/>
      </w:pPr>
      <w:r w:rsidRPr="005B520E">
        <w:t>Headings, or heads, are organizational devices that guide the reader through your paper. There are two types: component heads and text heads.</w:t>
      </w:r>
    </w:p>
    <w:p w14:paraId="45BE2846" w14:textId="77777777" w:rsidR="009303D9" w:rsidRPr="005B520E" w:rsidRDefault="009303D9" w:rsidP="00E7596C">
      <w:pPr>
        <w:pStyle w:val="a3"/>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2B1BDBD3" w14:textId="77777777" w:rsidR="009303D9" w:rsidRPr="005B520E" w:rsidRDefault="009303D9" w:rsidP="00E7596C">
      <w:pPr>
        <w:pStyle w:val="a3"/>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66CD0012" w14:textId="77777777" w:rsidR="009303D9" w:rsidRDefault="009303D9" w:rsidP="00ED0149">
      <w:pPr>
        <w:pStyle w:val="2"/>
      </w:pPr>
      <w:r>
        <w:t>Figures and Tables</w:t>
      </w:r>
    </w:p>
    <w:p w14:paraId="6188AB3F" w14:textId="77777777" w:rsidR="009303D9" w:rsidRDefault="0004781E" w:rsidP="00FA4C32">
      <w:pPr>
        <w:pStyle w:val="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531E81A1" w14:textId="77777777" w:rsidR="009303D9" w:rsidRPr="005B520E" w:rsidRDefault="009303D9">
      <w:pPr>
        <w:pStyle w:val="tablehead"/>
      </w:pPr>
      <w:r>
        <w:t>Table Type Styles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14:paraId="30C48CEB" w14:textId="77777777">
        <w:trPr>
          <w:cantSplit/>
          <w:trHeight w:val="240"/>
          <w:tblHeader/>
          <w:jc w:val="center"/>
        </w:trPr>
        <w:tc>
          <w:tcPr>
            <w:tcW w:w="720" w:type="dxa"/>
            <w:vMerge w:val="restart"/>
            <w:vAlign w:val="center"/>
          </w:tcPr>
          <w:p w14:paraId="545FCCFC" w14:textId="77777777" w:rsidR="009303D9" w:rsidRDefault="009303D9">
            <w:pPr>
              <w:pStyle w:val="tablecolhead"/>
            </w:pPr>
            <w:r>
              <w:t>Table Head</w:t>
            </w:r>
          </w:p>
        </w:tc>
        <w:tc>
          <w:tcPr>
            <w:tcW w:w="4140" w:type="dxa"/>
            <w:gridSpan w:val="3"/>
            <w:vAlign w:val="center"/>
          </w:tcPr>
          <w:p w14:paraId="7A47D508" w14:textId="77777777" w:rsidR="009303D9" w:rsidRDefault="009303D9">
            <w:pPr>
              <w:pStyle w:val="tablecolhead"/>
            </w:pPr>
            <w:r>
              <w:t>Table Column Head</w:t>
            </w:r>
          </w:p>
        </w:tc>
      </w:tr>
      <w:tr w:rsidR="009303D9" w14:paraId="63FD1701" w14:textId="77777777">
        <w:trPr>
          <w:cantSplit/>
          <w:trHeight w:val="240"/>
          <w:tblHeader/>
          <w:jc w:val="center"/>
        </w:trPr>
        <w:tc>
          <w:tcPr>
            <w:tcW w:w="720" w:type="dxa"/>
            <w:vMerge/>
          </w:tcPr>
          <w:p w14:paraId="7F5ED455" w14:textId="77777777" w:rsidR="009303D9" w:rsidRDefault="009303D9">
            <w:pPr>
              <w:rPr>
                <w:sz w:val="16"/>
                <w:szCs w:val="16"/>
              </w:rPr>
            </w:pPr>
          </w:p>
        </w:tc>
        <w:tc>
          <w:tcPr>
            <w:tcW w:w="2340" w:type="dxa"/>
            <w:vAlign w:val="center"/>
          </w:tcPr>
          <w:p w14:paraId="7404AD39" w14:textId="77777777" w:rsidR="009303D9" w:rsidRDefault="009303D9">
            <w:pPr>
              <w:pStyle w:val="tablecolsubhead"/>
            </w:pPr>
            <w:r>
              <w:t>Table column subhead</w:t>
            </w:r>
          </w:p>
        </w:tc>
        <w:tc>
          <w:tcPr>
            <w:tcW w:w="900" w:type="dxa"/>
            <w:vAlign w:val="center"/>
          </w:tcPr>
          <w:p w14:paraId="727656B8" w14:textId="77777777" w:rsidR="009303D9" w:rsidRDefault="009303D9">
            <w:pPr>
              <w:pStyle w:val="tablecolsubhead"/>
            </w:pPr>
            <w:r>
              <w:t>Subhead</w:t>
            </w:r>
          </w:p>
        </w:tc>
        <w:tc>
          <w:tcPr>
            <w:tcW w:w="900" w:type="dxa"/>
            <w:vAlign w:val="center"/>
          </w:tcPr>
          <w:p w14:paraId="40E9CA27" w14:textId="77777777" w:rsidR="009303D9" w:rsidRDefault="009303D9">
            <w:pPr>
              <w:pStyle w:val="tablecolsubhead"/>
            </w:pPr>
            <w:r>
              <w:t>Subhead</w:t>
            </w:r>
          </w:p>
        </w:tc>
      </w:tr>
      <w:tr w:rsidR="009303D9" w14:paraId="22F5D102" w14:textId="77777777">
        <w:trPr>
          <w:trHeight w:val="320"/>
          <w:jc w:val="center"/>
        </w:trPr>
        <w:tc>
          <w:tcPr>
            <w:tcW w:w="720" w:type="dxa"/>
            <w:vAlign w:val="center"/>
          </w:tcPr>
          <w:p w14:paraId="7F685D39" w14:textId="77777777" w:rsidR="009303D9" w:rsidRDefault="009303D9">
            <w:pPr>
              <w:pStyle w:val="tablecopy"/>
              <w:rPr>
                <w:sz w:val="8"/>
                <w:szCs w:val="8"/>
              </w:rPr>
            </w:pPr>
            <w:r>
              <w:t>copy</w:t>
            </w:r>
          </w:p>
        </w:tc>
        <w:tc>
          <w:tcPr>
            <w:tcW w:w="2340" w:type="dxa"/>
            <w:vAlign w:val="center"/>
          </w:tcPr>
          <w:p w14:paraId="61CD4812" w14:textId="77777777" w:rsidR="009303D9" w:rsidRDefault="009303D9">
            <w:pPr>
              <w:pStyle w:val="tablecopy"/>
            </w:pPr>
            <w:r>
              <w:t>More table copy</w:t>
            </w:r>
            <w:r>
              <w:rPr>
                <w:vertAlign w:val="superscript"/>
              </w:rPr>
              <w:t>a</w:t>
            </w:r>
          </w:p>
        </w:tc>
        <w:tc>
          <w:tcPr>
            <w:tcW w:w="900" w:type="dxa"/>
            <w:vAlign w:val="center"/>
          </w:tcPr>
          <w:p w14:paraId="1B52B7D4" w14:textId="77777777" w:rsidR="009303D9" w:rsidRDefault="009303D9">
            <w:pPr>
              <w:rPr>
                <w:sz w:val="16"/>
                <w:szCs w:val="16"/>
              </w:rPr>
            </w:pPr>
          </w:p>
        </w:tc>
        <w:tc>
          <w:tcPr>
            <w:tcW w:w="900" w:type="dxa"/>
            <w:vAlign w:val="center"/>
          </w:tcPr>
          <w:p w14:paraId="4F62F8F6" w14:textId="77777777" w:rsidR="009303D9" w:rsidRDefault="009303D9">
            <w:pPr>
              <w:rPr>
                <w:sz w:val="16"/>
                <w:szCs w:val="16"/>
              </w:rPr>
            </w:pPr>
          </w:p>
        </w:tc>
      </w:tr>
    </w:tbl>
    <w:p w14:paraId="4B5FF2D2"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3AF34BDD"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22B23481" w14:textId="77777777" w:rsidR="0080791D" w:rsidRPr="005B520E" w:rsidRDefault="009303D9" w:rsidP="00E7596C">
      <w:pPr>
        <w:pStyle w:val="a3"/>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2994FCD3" w14:textId="77777777" w:rsidR="0080791D" w:rsidRDefault="0080791D" w:rsidP="0080791D">
      <w:pPr>
        <w:pStyle w:val="5"/>
      </w:pPr>
      <w:r w:rsidRPr="005B520E">
        <w:t>Acknowledgment</w:t>
      </w:r>
      <w:r>
        <w:t xml:space="preserve"> </w:t>
      </w:r>
      <w:r>
        <w:rPr>
          <w:i/>
          <w:iCs/>
        </w:rPr>
        <w:t>(</w:t>
      </w:r>
      <w:r w:rsidRPr="00651A08">
        <w:rPr>
          <w:i/>
          <w:iCs/>
          <w:smallCaps w:val="0"/>
        </w:rPr>
        <w:t>Heading 5</w:t>
      </w:r>
      <w:r>
        <w:rPr>
          <w:i/>
          <w:iCs/>
        </w:rPr>
        <w:t>)</w:t>
      </w:r>
    </w:p>
    <w:p w14:paraId="53B3FAD3" w14:textId="77777777" w:rsidR="00575BCA" w:rsidRDefault="0080791D" w:rsidP="00836367">
      <w:pPr>
        <w:pStyle w:val="a3"/>
        <w:rPr>
          <w:rFonts w:eastAsiaTheme="minorEastAsia"/>
          <w:lang w:eastAsia="ja-JP"/>
        </w:rPr>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6FEED527" w14:textId="26E4C960" w:rsidR="009D4736" w:rsidRPr="009F6EB0" w:rsidRDefault="009D4736" w:rsidP="009D4736">
      <w:pPr>
        <w:pStyle w:val="5"/>
        <w:rPr>
          <w:rFonts w:eastAsiaTheme="minorEastAsia"/>
          <w:lang w:eastAsia="ja-JP"/>
        </w:rPr>
      </w:pPr>
      <w:r>
        <w:t>Submission</w:t>
      </w:r>
      <w:r>
        <w:rPr>
          <w:spacing w:val="-6"/>
        </w:rPr>
        <w:t xml:space="preserve"> </w:t>
      </w:r>
      <w:r>
        <w:t>of</w:t>
      </w:r>
      <w:r>
        <w:rPr>
          <w:spacing w:val="-5"/>
        </w:rPr>
        <w:t xml:space="preserve"> </w:t>
      </w:r>
      <w:r>
        <w:t>the</w:t>
      </w:r>
      <w:r>
        <w:rPr>
          <w:spacing w:val="-3"/>
        </w:rPr>
        <w:t xml:space="preserve"> </w:t>
      </w:r>
      <w:r w:rsidR="009F6EB0">
        <w:rPr>
          <w:rFonts w:eastAsiaTheme="minorEastAsia" w:hint="eastAsia"/>
          <w:lang w:eastAsia="ja-JP"/>
        </w:rPr>
        <w:t>Extended Summary</w:t>
      </w:r>
      <w:r w:rsidR="00746FDC">
        <w:rPr>
          <w:rFonts w:eastAsiaTheme="minorEastAsia" w:hint="eastAsia"/>
          <w:lang w:eastAsia="ja-JP"/>
        </w:rPr>
        <w:t xml:space="preserve"> for IPEC</w:t>
      </w:r>
    </w:p>
    <w:p w14:paraId="1BD90704" w14:textId="44AF3989" w:rsidR="009D4736" w:rsidRPr="003C7BF5" w:rsidRDefault="00746FDC" w:rsidP="00746FDC">
      <w:pPr>
        <w:pStyle w:val="a3"/>
        <w:rPr>
          <w:rFonts w:eastAsiaTheme="minorEastAsia"/>
          <w:lang w:eastAsia="ja-JP"/>
        </w:rPr>
      </w:pPr>
      <w:r w:rsidRPr="00746FDC">
        <w:rPr>
          <w:rFonts w:eastAsiaTheme="minorEastAsia"/>
          <w:color w:val="EE0000"/>
          <w:lang w:eastAsia="ja-JP"/>
        </w:rPr>
        <w:t>An extended summary</w:t>
      </w:r>
      <w:r>
        <w:rPr>
          <w:rFonts w:eastAsiaTheme="minorEastAsia" w:hint="eastAsia"/>
          <w:color w:val="EE0000"/>
          <w:lang w:eastAsia="ja-JP"/>
        </w:rPr>
        <w:t xml:space="preserve"> of Regular Session(RS), Organized Session(OS) and Industry Technology Session(ITS)</w:t>
      </w:r>
      <w:r w:rsidRPr="00746FDC">
        <w:rPr>
          <w:rFonts w:eastAsiaTheme="minorEastAsia"/>
          <w:color w:val="EE0000"/>
          <w:lang w:eastAsia="ja-JP"/>
        </w:rPr>
        <w:t xml:space="preserve"> describing work not previously</w:t>
      </w:r>
      <w:r w:rsidRPr="00746FDC">
        <w:rPr>
          <w:rFonts w:eastAsiaTheme="minorEastAsia" w:hint="eastAsia"/>
          <w:color w:val="EE0000"/>
          <w:lang w:eastAsia="ja-JP"/>
        </w:rPr>
        <w:t xml:space="preserve"> </w:t>
      </w:r>
      <w:r w:rsidRPr="00746FDC">
        <w:rPr>
          <w:rFonts w:eastAsiaTheme="minorEastAsia"/>
          <w:color w:val="EE0000"/>
          <w:lang w:eastAsia="ja-JP"/>
        </w:rPr>
        <w:t>published or presented must be electronically submitted in</w:t>
      </w:r>
      <w:r w:rsidRPr="00746FDC">
        <w:rPr>
          <w:rFonts w:eastAsiaTheme="minorEastAsia" w:hint="eastAsia"/>
          <w:color w:val="EE0000"/>
          <w:lang w:eastAsia="ja-JP"/>
        </w:rPr>
        <w:t xml:space="preserve"> </w:t>
      </w:r>
      <w:r w:rsidRPr="00746FDC">
        <w:rPr>
          <w:rFonts w:eastAsiaTheme="minorEastAsia"/>
          <w:color w:val="EE0000"/>
          <w:lang w:eastAsia="ja-JP"/>
        </w:rPr>
        <w:t>a PDF file through the conference website no later than</w:t>
      </w:r>
      <w:r w:rsidRPr="00746FDC">
        <w:rPr>
          <w:rFonts w:eastAsiaTheme="minorEastAsia" w:hint="eastAsia"/>
          <w:color w:val="EE0000"/>
          <w:lang w:eastAsia="ja-JP"/>
        </w:rPr>
        <w:t xml:space="preserve"> </w:t>
      </w:r>
      <w:r w:rsidRPr="00746FDC">
        <w:rPr>
          <w:rFonts w:eastAsiaTheme="minorEastAsia"/>
          <w:color w:val="EE0000"/>
          <w:lang w:eastAsia="ja-JP"/>
        </w:rPr>
        <w:t>October 30th, 2025.</w:t>
      </w:r>
      <w:r w:rsidRPr="00746FDC">
        <w:rPr>
          <w:rFonts w:eastAsiaTheme="minorEastAsia"/>
          <w:lang w:eastAsia="ja-JP"/>
        </w:rPr>
        <w:t xml:space="preserve"> The submitted extended summary will</w:t>
      </w:r>
      <w:r>
        <w:rPr>
          <w:rFonts w:eastAsiaTheme="minorEastAsia" w:hint="eastAsia"/>
          <w:lang w:eastAsia="ja-JP"/>
        </w:rPr>
        <w:t xml:space="preserve"> </w:t>
      </w:r>
      <w:r w:rsidRPr="00746FDC">
        <w:rPr>
          <w:rFonts w:eastAsiaTheme="minorEastAsia"/>
          <w:lang w:eastAsia="ja-JP"/>
        </w:rPr>
        <w:t>be reviewed via a peer review process in order to ensure</w:t>
      </w:r>
      <w:r>
        <w:rPr>
          <w:rFonts w:eastAsiaTheme="minorEastAsia" w:hint="eastAsia"/>
          <w:lang w:eastAsia="ja-JP"/>
        </w:rPr>
        <w:t xml:space="preserve"> </w:t>
      </w:r>
      <w:r w:rsidRPr="00746FDC">
        <w:rPr>
          <w:rFonts w:eastAsiaTheme="minorEastAsia"/>
          <w:lang w:eastAsia="ja-JP"/>
        </w:rPr>
        <w:t>the highest technical quality of the conference. The</w:t>
      </w:r>
      <w:r>
        <w:rPr>
          <w:rFonts w:eastAsiaTheme="minorEastAsia" w:hint="eastAsia"/>
          <w:lang w:eastAsia="ja-JP"/>
        </w:rPr>
        <w:t xml:space="preserve"> </w:t>
      </w:r>
      <w:r w:rsidRPr="00746FDC">
        <w:rPr>
          <w:rFonts w:eastAsiaTheme="minorEastAsia"/>
          <w:lang w:eastAsia="ja-JP"/>
        </w:rPr>
        <w:t>extended summary should clearly define the salient</w:t>
      </w:r>
      <w:r>
        <w:rPr>
          <w:rFonts w:eastAsiaTheme="minorEastAsia" w:hint="eastAsia"/>
          <w:lang w:eastAsia="ja-JP"/>
        </w:rPr>
        <w:t xml:space="preserve"> </w:t>
      </w:r>
      <w:r w:rsidRPr="00746FDC">
        <w:rPr>
          <w:rFonts w:eastAsiaTheme="minorEastAsia"/>
          <w:lang w:eastAsia="ja-JP"/>
        </w:rPr>
        <w:t>concepts and novel features of the work. Be sure to</w:t>
      </w:r>
      <w:r>
        <w:rPr>
          <w:rFonts w:eastAsiaTheme="minorEastAsia" w:hint="eastAsia"/>
          <w:lang w:eastAsia="ja-JP"/>
        </w:rPr>
        <w:t xml:space="preserve"> </w:t>
      </w:r>
      <w:r w:rsidRPr="00746FDC">
        <w:rPr>
          <w:rFonts w:eastAsiaTheme="minorEastAsia"/>
          <w:lang w:val="en-US" w:eastAsia="ja-JP"/>
        </w:rPr>
        <w:t>mention past or previous works to distinguish your originality from them. The extended summary should be up to 4 pages except Reference, and detailed instructions will be shown on the IPEC-Nagasaki official website, https://www.ipec2026.org. Authors will receive notification of acceptance by e-mail on or before January 30th, 2026</w:t>
      </w:r>
      <w:r>
        <w:rPr>
          <w:rFonts w:eastAsiaTheme="minorEastAsia" w:hint="eastAsia"/>
          <w:lang w:val="en-US" w:eastAsia="ja-JP"/>
        </w:rPr>
        <w:t xml:space="preserve">. </w:t>
      </w:r>
      <w:r w:rsidR="009D4736">
        <w:t>Proceedings will be published on IEEE Xplore. Detailed instructions are available on the IPEC-N</w:t>
      </w:r>
      <w:r w:rsidR="003C7BF5">
        <w:rPr>
          <w:rFonts w:eastAsiaTheme="minorEastAsia" w:hint="eastAsia"/>
          <w:lang w:eastAsia="ja-JP"/>
        </w:rPr>
        <w:t>agasaki</w:t>
      </w:r>
      <w:r w:rsidR="009D4736">
        <w:t xml:space="preserve"> 20</w:t>
      </w:r>
      <w:r w:rsidR="003C7BF5">
        <w:rPr>
          <w:rFonts w:eastAsiaTheme="minorEastAsia" w:hint="eastAsia"/>
          <w:lang w:eastAsia="ja-JP"/>
        </w:rPr>
        <w:t>26</w:t>
      </w:r>
      <w:r w:rsidR="009D4736">
        <w:t xml:space="preserve"> website http://www.ipec20</w:t>
      </w:r>
      <w:r w:rsidR="003C7BF5">
        <w:rPr>
          <w:rFonts w:eastAsiaTheme="minorEastAsia" w:hint="eastAsia"/>
          <w:lang w:eastAsia="ja-JP"/>
        </w:rPr>
        <w:t>26</w:t>
      </w:r>
      <w:r w:rsidR="009D4736">
        <w:t>.org.</w:t>
      </w:r>
    </w:p>
    <w:p w14:paraId="3AAA5821" w14:textId="77777777" w:rsidR="009303D9" w:rsidRDefault="009303D9" w:rsidP="00A059B3">
      <w:pPr>
        <w:pStyle w:val="5"/>
      </w:pPr>
      <w:r w:rsidRPr="005B520E">
        <w:t>References</w:t>
      </w:r>
    </w:p>
    <w:p w14:paraId="3403BDE9" w14:textId="77777777" w:rsidR="009303D9" w:rsidRPr="005B520E" w:rsidRDefault="009303D9" w:rsidP="00E7596C">
      <w:pPr>
        <w:pStyle w:val="a3"/>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0E9957E8" w14:textId="77777777" w:rsidR="009303D9" w:rsidRPr="005B520E" w:rsidRDefault="009303D9" w:rsidP="00E7596C">
      <w:pPr>
        <w:pStyle w:val="a3"/>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2BCE24F7" w14:textId="77777777" w:rsidR="009303D9" w:rsidRPr="005B520E" w:rsidRDefault="009303D9" w:rsidP="00E7596C">
      <w:pPr>
        <w:pStyle w:val="a3"/>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540F04A0" w14:textId="77777777" w:rsidR="009303D9" w:rsidRDefault="009303D9">
      <w:pPr>
        <w:rPr>
          <w:rFonts w:eastAsiaTheme="minorEastAsia"/>
          <w:lang w:eastAsia="ja-JP"/>
        </w:rPr>
      </w:pPr>
    </w:p>
    <w:p w14:paraId="7CE76655" w14:textId="77777777" w:rsidR="00746FDC" w:rsidRDefault="00746FDC">
      <w:pPr>
        <w:rPr>
          <w:rFonts w:eastAsiaTheme="minorEastAsia"/>
          <w:lang w:eastAsia="ja-JP"/>
        </w:rPr>
      </w:pPr>
    </w:p>
    <w:p w14:paraId="44417B4F" w14:textId="77777777" w:rsidR="00746FDC" w:rsidRDefault="00746FDC">
      <w:pPr>
        <w:rPr>
          <w:rFonts w:eastAsiaTheme="minorEastAsia"/>
          <w:lang w:eastAsia="ja-JP"/>
        </w:rPr>
      </w:pPr>
    </w:p>
    <w:p w14:paraId="51412501" w14:textId="77777777" w:rsidR="00746FDC" w:rsidRDefault="00746FDC">
      <w:pPr>
        <w:rPr>
          <w:rFonts w:eastAsiaTheme="minorEastAsia"/>
          <w:lang w:eastAsia="ja-JP"/>
        </w:rPr>
      </w:pPr>
    </w:p>
    <w:p w14:paraId="5B3395D9" w14:textId="77777777" w:rsidR="00746FDC" w:rsidRPr="00746FDC" w:rsidRDefault="00746FDC">
      <w:pPr>
        <w:rPr>
          <w:rFonts w:eastAsiaTheme="minorEastAsia"/>
          <w:lang w:eastAsia="ja-JP"/>
        </w:rPr>
      </w:pPr>
    </w:p>
    <w:p w14:paraId="5F314AA9" w14:textId="77777777"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14:paraId="010A1BC0" w14:textId="77777777" w:rsidR="009303D9" w:rsidRDefault="009303D9" w:rsidP="0004781E">
      <w:pPr>
        <w:pStyle w:val="references"/>
        <w:ind w:left="354" w:hanging="354"/>
      </w:pPr>
      <w:r>
        <w:t>J. Clerk Maxwell, A Treatise on Electricity and Magnetism, 3rd ed., vol. 2. Oxford: Clarendon, 1892, pp.68–73.</w:t>
      </w:r>
    </w:p>
    <w:p w14:paraId="7BD74CDE" w14:textId="77777777" w:rsidR="009303D9" w:rsidRDefault="009303D9" w:rsidP="0004781E">
      <w:pPr>
        <w:pStyle w:val="references"/>
        <w:ind w:left="354" w:hanging="354"/>
      </w:pPr>
      <w:r>
        <w:t>I. S. Jacobs and C. P. Bean, “Fine particles, thin films and exchange anisotropy,” in Magnetism, vol. III, G. T. Rado and H. Suhl, Eds. New York: Academic, 1963, pp. 271–350.</w:t>
      </w:r>
    </w:p>
    <w:p w14:paraId="0DACE2BB" w14:textId="77777777" w:rsidR="009303D9" w:rsidRDefault="009303D9" w:rsidP="0004781E">
      <w:pPr>
        <w:pStyle w:val="references"/>
        <w:ind w:left="354" w:hanging="354"/>
      </w:pPr>
      <w:r>
        <w:t>K. Elissa, “Title of paper if known,” unpublished.</w:t>
      </w:r>
    </w:p>
    <w:p w14:paraId="3C82C52C" w14:textId="77777777" w:rsidR="009303D9" w:rsidRDefault="009303D9" w:rsidP="0004781E">
      <w:pPr>
        <w:pStyle w:val="references"/>
        <w:ind w:left="354" w:hanging="354"/>
      </w:pPr>
      <w:r>
        <w:t>R. Nicole, “Title of paper with only first word capitalized,” J. Name Stand. Abbrev., in press.</w:t>
      </w:r>
    </w:p>
    <w:p w14:paraId="7FD30D62" w14:textId="77777777" w:rsidR="009303D9" w:rsidRDefault="009303D9" w:rsidP="0004781E">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14:paraId="5EB57816" w14:textId="77777777" w:rsidR="009303D9" w:rsidRDefault="009303D9" w:rsidP="0004781E">
      <w:pPr>
        <w:pStyle w:val="references"/>
        <w:ind w:left="354" w:hanging="354"/>
      </w:pPr>
      <w:r>
        <w:t>M. Young, The Technical Writer</w:t>
      </w:r>
      <w:r w:rsidR="00E7596C">
        <w:t>’</w:t>
      </w:r>
      <w:r>
        <w:t>s Handbook. Mill Valley, CA: University Science, 1989.</w:t>
      </w:r>
    </w:p>
    <w:p w14:paraId="72CCDE33" w14:textId="77777777" w:rsidR="009303D9" w:rsidRDefault="009303D9" w:rsidP="00836367">
      <w:pPr>
        <w:pStyle w:val="references"/>
        <w:numPr>
          <w:ilvl w:val="0"/>
          <w:numId w:val="0"/>
        </w:numPr>
        <w:ind w:left="360" w:hanging="360"/>
      </w:pPr>
    </w:p>
    <w:p w14:paraId="38752E2F" w14:textId="77777777"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02798B08" w14:textId="77777777" w:rsidR="009303D9" w:rsidRDefault="003B2B40" w:rsidP="005B520E">
      <w:r>
        <w:rPr>
          <w:noProof/>
          <w:lang w:eastAsia="ja-JP"/>
        </w:rPr>
        <mc:AlternateContent>
          <mc:Choice Requires="wps">
            <w:drawing>
              <wp:anchor distT="0" distB="0" distL="114300" distR="114300" simplePos="0" relativeHeight="251657728" behindDoc="1" locked="0" layoutInCell="1" allowOverlap="1" wp14:anchorId="0BD7701A" wp14:editId="62F43FC8">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58652627" w14:textId="77777777" w:rsidR="0080791D" w:rsidRDefault="0080791D" w:rsidP="00E7596C">
                            <w:pPr>
                              <w:pStyle w:val="a3"/>
                            </w:pPr>
                            <w:r>
                              <w:t>We suggest that you use a text box to insert a graphic (which is ideally a 300 dpi TIFF or EPS file, with all fonts embedded) because, in an MSW document, this method is somewhat more stable than directly inserting a picture.</w:t>
                            </w:r>
                          </w:p>
                          <w:p w14:paraId="3B759BA8" w14:textId="77777777" w:rsidR="0080791D" w:rsidRDefault="0080791D" w:rsidP="00E7596C">
                            <w:pPr>
                              <w:pStyle w:val="a3"/>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D7701A" id="_x0000_t202" coordsize="21600,21600" o:spt="202" path="m,l,21600r21600,l21600,xe">
                <v:stroke joinstyle="miter"/>
                <v:path gradientshapeok="t" o:connecttype="rect"/>
              </v:shapetype>
              <v:shape id="Text Box 8" o:spid="_x0000_s1026" type="#_x0000_t202" style="position:absolute;left:0;text-align:left;margin-left:0;margin-top:19.8pt;width:252pt;height:90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">
                <v:textbox>
                  <w:txbxContent>
                    <w:p w14:paraId="58652627" w14:textId="77777777" w:rsidR="0080791D" w:rsidRDefault="0080791D" w:rsidP="00E7596C">
                      <w:pPr>
                        <w:pStyle w:val="a3"/>
                      </w:pPr>
                      <w:r>
                        <w:t>We suggest that you use a text box to insert a graphic (which is ideally a 300 dpi TIFF or EPS file, with all fonts embedded) because, in an MSW document, this method is somewhat more stable than directly inserting a picture.</w:t>
                      </w:r>
                    </w:p>
                    <w:p w14:paraId="3B759BA8" w14:textId="77777777" w:rsidR="0080791D" w:rsidRDefault="0080791D" w:rsidP="00E7596C">
                      <w:pPr>
                        <w:pStyle w:val="a3"/>
                      </w:pPr>
                      <w:r>
                        <w:t>To have non-visible rules on your frame, use the MSWord “Format” pull-down menu, select Text Box &gt; Colors and Lines to choose No Fill and No Line.</w:t>
                      </w:r>
                    </w:p>
                  </w:txbxContent>
                </v:textbox>
                <w10:wrap type="tight" anchorx="margin"/>
              </v:shape>
            </w:pict>
          </mc:Fallback>
        </mc:AlternateConten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EAC38E" w14:textId="77777777" w:rsidR="00397BAC" w:rsidRDefault="00397BAC" w:rsidP="001A3B3D">
      <w:r>
        <w:separator/>
      </w:r>
    </w:p>
  </w:endnote>
  <w:endnote w:type="continuationSeparator" w:id="0">
    <w:p w14:paraId="19B95609" w14:textId="77777777" w:rsidR="00397BAC" w:rsidRDefault="00397BA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ＭＳ 明朝">
    <w:altName w:val="MS Mincho"/>
    <w:panose1 w:val="02020609040205080304"/>
    <w:charset w:val="80"/>
    <w:family w:val="roma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55382" w14:textId="77777777" w:rsidR="001A3B3D" w:rsidRPr="006F6D3D" w:rsidRDefault="001A3B3D" w:rsidP="0056610F">
    <w:pPr>
      <w:pStyle w:val="a7"/>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DB37D8" w14:textId="77777777" w:rsidR="00397BAC" w:rsidRDefault="00397BAC" w:rsidP="001A3B3D">
      <w:r>
        <w:separator/>
      </w:r>
    </w:p>
  </w:footnote>
  <w:footnote w:type="continuationSeparator" w:id="0">
    <w:p w14:paraId="2469A58B" w14:textId="77777777" w:rsidR="00397BAC" w:rsidRDefault="00397BAC"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22B49B66"/>
    <w:lvl w:ilvl="0">
      <w:start w:val="1"/>
      <w:numFmt w:val="upperRoman"/>
      <w:pStyle w:val="1"/>
      <w:lvlText w:val="%1."/>
      <w:lvlJc w:val="center"/>
      <w:pPr>
        <w:tabs>
          <w:tab w:val="num" w:pos="3054"/>
        </w:tabs>
        <w:ind w:firstLine="216"/>
      </w:pPr>
      <w:rPr>
        <w:rFonts w:ascii="Times New Roman" w:hAnsi="Times New Roman" w:cs="Times New Roman" w:hint="default"/>
        <w:caps w:val="0"/>
        <w:strike w:val="0"/>
        <w:dstrike w:val="0"/>
        <w:vanish w:val="0"/>
        <w:color w:val="auto"/>
        <w:sz w:val="20"/>
        <w:szCs w:val="20"/>
        <w:vertAlign w:val="baseline"/>
        <w:lang w:val="x-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defaultTabStop w:val="720"/>
  <w:doNotHyphenateCaps/>
  <w:characterSpacingControl w:val="doNotCompress"/>
  <w:savePreviewPicture/>
  <w:doNotValidateAgainstSchema/>
  <w:doNotDemarcateInvalidXml/>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1685B"/>
    <w:rsid w:val="0004781E"/>
    <w:rsid w:val="0008758A"/>
    <w:rsid w:val="000C1E68"/>
    <w:rsid w:val="000D5012"/>
    <w:rsid w:val="00106A02"/>
    <w:rsid w:val="001107E2"/>
    <w:rsid w:val="001635B3"/>
    <w:rsid w:val="001A2EFD"/>
    <w:rsid w:val="001A3B3D"/>
    <w:rsid w:val="001B67DC"/>
    <w:rsid w:val="002254A9"/>
    <w:rsid w:val="00233D97"/>
    <w:rsid w:val="002347A2"/>
    <w:rsid w:val="00282525"/>
    <w:rsid w:val="002850E3"/>
    <w:rsid w:val="003260B3"/>
    <w:rsid w:val="00354FCF"/>
    <w:rsid w:val="00397BAC"/>
    <w:rsid w:val="003A19E2"/>
    <w:rsid w:val="003B2B40"/>
    <w:rsid w:val="003B4E04"/>
    <w:rsid w:val="003C7BF5"/>
    <w:rsid w:val="003F5A08"/>
    <w:rsid w:val="00417FD6"/>
    <w:rsid w:val="00420716"/>
    <w:rsid w:val="004325FB"/>
    <w:rsid w:val="004432BA"/>
    <w:rsid w:val="0044407E"/>
    <w:rsid w:val="00447BB9"/>
    <w:rsid w:val="004542C3"/>
    <w:rsid w:val="0046031D"/>
    <w:rsid w:val="00473AC9"/>
    <w:rsid w:val="004A207C"/>
    <w:rsid w:val="004D72B5"/>
    <w:rsid w:val="004D7954"/>
    <w:rsid w:val="00551B7F"/>
    <w:rsid w:val="0056610F"/>
    <w:rsid w:val="00575BCA"/>
    <w:rsid w:val="005776D8"/>
    <w:rsid w:val="005B0344"/>
    <w:rsid w:val="005B520E"/>
    <w:rsid w:val="005E2800"/>
    <w:rsid w:val="0060272B"/>
    <w:rsid w:val="00605825"/>
    <w:rsid w:val="00645D22"/>
    <w:rsid w:val="00651A08"/>
    <w:rsid w:val="00654204"/>
    <w:rsid w:val="00670434"/>
    <w:rsid w:val="006B6B66"/>
    <w:rsid w:val="006F6D3D"/>
    <w:rsid w:val="00715BEA"/>
    <w:rsid w:val="007179DC"/>
    <w:rsid w:val="00740EEA"/>
    <w:rsid w:val="00743031"/>
    <w:rsid w:val="00746FDC"/>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D1D79"/>
    <w:rsid w:val="009D4736"/>
    <w:rsid w:val="009F1D79"/>
    <w:rsid w:val="009F3FE4"/>
    <w:rsid w:val="009F6EB0"/>
    <w:rsid w:val="009F775C"/>
    <w:rsid w:val="00A059B3"/>
    <w:rsid w:val="00A20927"/>
    <w:rsid w:val="00A63F30"/>
    <w:rsid w:val="00A66921"/>
    <w:rsid w:val="00AE3409"/>
    <w:rsid w:val="00B11A60"/>
    <w:rsid w:val="00B22613"/>
    <w:rsid w:val="00B44A76"/>
    <w:rsid w:val="00B768D1"/>
    <w:rsid w:val="00B80236"/>
    <w:rsid w:val="00BA1025"/>
    <w:rsid w:val="00BC3420"/>
    <w:rsid w:val="00BC5039"/>
    <w:rsid w:val="00BD4563"/>
    <w:rsid w:val="00BD670B"/>
    <w:rsid w:val="00BE7D3C"/>
    <w:rsid w:val="00BF5FF6"/>
    <w:rsid w:val="00C0207F"/>
    <w:rsid w:val="00C16117"/>
    <w:rsid w:val="00C3075A"/>
    <w:rsid w:val="00C919A4"/>
    <w:rsid w:val="00CA4392"/>
    <w:rsid w:val="00CC393F"/>
    <w:rsid w:val="00CD388E"/>
    <w:rsid w:val="00CF7712"/>
    <w:rsid w:val="00D2176E"/>
    <w:rsid w:val="00D43B79"/>
    <w:rsid w:val="00D55FDB"/>
    <w:rsid w:val="00D632BE"/>
    <w:rsid w:val="00D72D06"/>
    <w:rsid w:val="00D7522C"/>
    <w:rsid w:val="00D7536F"/>
    <w:rsid w:val="00D76668"/>
    <w:rsid w:val="00E044FB"/>
    <w:rsid w:val="00E07383"/>
    <w:rsid w:val="00E11473"/>
    <w:rsid w:val="00E165BC"/>
    <w:rsid w:val="00E46B20"/>
    <w:rsid w:val="00E61E12"/>
    <w:rsid w:val="00E7596C"/>
    <w:rsid w:val="00E878F2"/>
    <w:rsid w:val="00E90E78"/>
    <w:rsid w:val="00E92556"/>
    <w:rsid w:val="00ED0149"/>
    <w:rsid w:val="00ED3100"/>
    <w:rsid w:val="00EF31FF"/>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30D90D7E"/>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left" w:pos="216"/>
      </w:tabs>
      <w:spacing w:before="160" w:after="80"/>
      <w:ind w:firstLine="0"/>
      <w:outlineLvl w:val="0"/>
    </w:pPr>
    <w:rPr>
      <w:smallCaps/>
      <w:noProof/>
    </w:rPr>
  </w:style>
  <w:style w:type="paragraph" w:styleId="2">
    <w:name w:val="heading 2"/>
    <w:basedOn w:val="a"/>
    <w:next w:val="a"/>
    <w:qFormat/>
    <w:rsid w:val="00ED0149"/>
    <w:pPr>
      <w:keepNext/>
      <w:keepLines/>
      <w:numPr>
        <w:ilvl w:val="1"/>
        <w:numId w:val="4"/>
      </w:numPr>
      <w:tabs>
        <w:tab w:val="clear" w:pos="360"/>
        <w:tab w:val="num" w:pos="288"/>
      </w:tabs>
      <w:spacing w:before="120" w:after="60"/>
      <w:jc w:val="left"/>
      <w:outlineLvl w:val="1"/>
    </w:pPr>
    <w:rPr>
      <w:i/>
      <w:iCs/>
      <w:noProof/>
    </w:rPr>
  </w:style>
  <w:style w:type="paragraph" w:styleId="3">
    <w:name w:val="heading 3"/>
    <w:basedOn w:val="a"/>
    <w:next w:val="a"/>
    <w:qFormat/>
    <w:rsid w:val="00794804"/>
    <w:pPr>
      <w:numPr>
        <w:ilvl w:val="2"/>
        <w:numId w:val="4"/>
      </w:numPr>
      <w:spacing w:line="240" w:lineRule="exact"/>
      <w:ind w:firstLine="288"/>
      <w:jc w:val="both"/>
      <w:outlineLvl w:val="2"/>
    </w:pPr>
    <w:rPr>
      <w:i/>
      <w:iCs/>
      <w:noProof/>
    </w:rPr>
  </w:style>
  <w:style w:type="paragraph" w:styleId="4">
    <w:name w:val="heading 4"/>
    <w:basedOn w:val="a"/>
    <w:next w:val="a"/>
    <w:qFormat/>
    <w:rsid w:val="00794804"/>
    <w:pPr>
      <w:numPr>
        <w:ilvl w:val="3"/>
        <w:numId w:val="4"/>
      </w:numPr>
      <w:tabs>
        <w:tab w:val="clear" w:pos="630"/>
        <w:tab w:val="left" w:pos="720"/>
      </w:tabs>
      <w:spacing w:before="40" w:after="40"/>
      <w:ind w:firstLine="504"/>
      <w:jc w:val="both"/>
      <w:outlineLvl w:val="3"/>
    </w:pPr>
    <w:rPr>
      <w:i/>
      <w:iCs/>
      <w:noProof/>
    </w:rPr>
  </w:style>
  <w:style w:type="paragraph" w:styleId="5">
    <w:name w:val="heading 5"/>
    <w:basedOn w:val="a"/>
    <w:next w:val="a"/>
    <w:qFormat/>
    <w:pPr>
      <w:tabs>
        <w:tab w:val="left" w:pos="360"/>
      </w:tabs>
      <w:spacing w:before="160" w:after="80"/>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a3">
    <w:name w:val="Body Text"/>
    <w:basedOn w:val="a"/>
    <w:link w:val="a4"/>
    <w:rsid w:val="00E7596C"/>
    <w:pPr>
      <w:tabs>
        <w:tab w:val="left" w:pos="288"/>
      </w:tabs>
      <w:spacing w:after="120" w:line="228" w:lineRule="auto"/>
      <w:ind w:firstLine="288"/>
      <w:jc w:val="both"/>
    </w:pPr>
    <w:rPr>
      <w:spacing w:val="-1"/>
      <w:lang w:val="x-none" w:eastAsia="x-none"/>
    </w:rPr>
  </w:style>
  <w:style w:type="character" w:customStyle="1" w:styleId="a4">
    <w:name w:val="本文 (文字)"/>
    <w:link w:val="a3"/>
    <w:rsid w:val="00E7596C"/>
    <w:rPr>
      <w:spacing w:val="-1"/>
      <w:lang w:val="x-none" w:eastAsia="x-none"/>
    </w:rPr>
  </w:style>
  <w:style w:type="paragraph" w:customStyle="1" w:styleId="bulletlist">
    <w:name w:val="bullet list"/>
    <w:basedOn w:val="a3"/>
    <w:rsid w:val="001B67DC"/>
    <w:pPr>
      <w:numPr>
        <w:numId w:val="1"/>
      </w:numPr>
      <w:tabs>
        <w:tab w:val="clear" w:pos="648"/>
      </w:tabs>
      <w:ind w:left="576" w:hanging="288"/>
    </w:pPr>
  </w:style>
  <w:style w:type="paragraph" w:customStyle="1" w:styleId="equation">
    <w:name w:val="equation"/>
    <w:basedOn w:val="a"/>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ＭＳ 明朝"/>
      <w:noProof/>
      <w:sz w:val="28"/>
      <w:szCs w:val="28"/>
    </w:rPr>
  </w:style>
  <w:style w:type="paragraph" w:customStyle="1" w:styleId="papertitle">
    <w:name w:val="paper title"/>
    <w:pPr>
      <w:spacing w:after="120"/>
      <w:jc w:val="center"/>
    </w:pPr>
    <w:rPr>
      <w:rFonts w:eastAsia="ＭＳ 明朝"/>
      <w:noProof/>
      <w:sz w:val="48"/>
      <w:szCs w:val="48"/>
    </w:rPr>
  </w:style>
  <w:style w:type="paragraph" w:customStyle="1" w:styleId="references">
    <w:name w:val="references"/>
    <w:pPr>
      <w:numPr>
        <w:numId w:val="8"/>
      </w:numPr>
      <w:spacing w:after="50" w:line="180" w:lineRule="exact"/>
      <w:jc w:val="both"/>
    </w:pPr>
    <w:rPr>
      <w:rFonts w:eastAsia="ＭＳ 明朝"/>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a5">
    <w:name w:val="header"/>
    <w:basedOn w:val="a"/>
    <w:link w:val="a6"/>
    <w:rsid w:val="001A3B3D"/>
    <w:pPr>
      <w:tabs>
        <w:tab w:val="center" w:pos="4680"/>
        <w:tab w:val="right" w:pos="9360"/>
      </w:tabs>
    </w:pPr>
  </w:style>
  <w:style w:type="character" w:customStyle="1" w:styleId="a6">
    <w:name w:val="ヘッダー (文字)"/>
    <w:basedOn w:val="a0"/>
    <w:link w:val="a5"/>
    <w:rsid w:val="001A3B3D"/>
  </w:style>
  <w:style w:type="paragraph" w:styleId="a7">
    <w:name w:val="footer"/>
    <w:basedOn w:val="a"/>
    <w:link w:val="a8"/>
    <w:rsid w:val="001A3B3D"/>
    <w:pPr>
      <w:tabs>
        <w:tab w:val="center" w:pos="4680"/>
        <w:tab w:val="right" w:pos="9360"/>
      </w:tabs>
    </w:pPr>
  </w:style>
  <w:style w:type="character" w:customStyle="1" w:styleId="a8">
    <w:name w:val="フッター (文字)"/>
    <w:basedOn w:val="a0"/>
    <w:link w:val="a7"/>
    <w:rsid w:val="001A3B3D"/>
  </w:style>
  <w:style w:type="paragraph" w:styleId="a9">
    <w:name w:val="Balloon Text"/>
    <w:basedOn w:val="a"/>
    <w:link w:val="aa"/>
    <w:rsid w:val="00E46B20"/>
    <w:rPr>
      <w:rFonts w:asciiTheme="majorHAnsi" w:eastAsiaTheme="majorEastAsia" w:hAnsiTheme="majorHAnsi" w:cstheme="majorBidi"/>
      <w:sz w:val="18"/>
      <w:szCs w:val="18"/>
    </w:rPr>
  </w:style>
  <w:style w:type="character" w:customStyle="1" w:styleId="aa">
    <w:name w:val="吹き出し (文字)"/>
    <w:basedOn w:val="a0"/>
    <w:link w:val="a9"/>
    <w:rsid w:val="00E46B20"/>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440AC5776D445D4AA0436B39D48A5D32" ma:contentTypeVersion="8" ma:contentTypeDescription="新しいドキュメントを作成します。" ma:contentTypeScope="" ma:versionID="d125794756e80a899923e48f212c6b85">
  <xsd:schema xmlns:xsd="http://www.w3.org/2001/XMLSchema" xmlns:xs="http://www.w3.org/2001/XMLSchema" xmlns:p="http://schemas.microsoft.com/office/2006/metadata/properties" xmlns:ns2="6c0a9c51-223e-40eb-be5b-a75f95f5efa0" targetNamespace="http://schemas.microsoft.com/office/2006/metadata/properties" ma:root="true" ma:fieldsID="45f786c64a0ac8c4f8a57f41e78087e2" ns2:_="">
    <xsd:import namespace="6c0a9c51-223e-40eb-be5b-a75f95f5efa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GenerationTime" minOccurs="0"/>
                <xsd:element ref="ns2:MediaServiceEventHashCode" minOccurs="0"/>
                <xsd:element ref="ns2:MediaLengthInSecond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0a9c51-223e-40eb-be5b-a75f95f5e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9EE229-485F-40EC-B888-8B55E3E2E24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42342BE-FD0C-4F90-9EF5-3C3E504DE6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0a9c51-223e-40eb-be5b-a75f95f5ef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7B91732-99A5-4811-B3F1-5689ABC2BB07}">
  <ds:schemaRefs>
    <ds:schemaRef ds:uri="http://schemas.microsoft.com/sharepoint/v3/contenttype/forms"/>
  </ds:schemaRefs>
</ds:datastoreItem>
</file>

<file path=customXml/itemProps4.xml><?xml version="1.0" encoding="utf-8"?>
<ds:datastoreItem xmlns:ds="http://schemas.openxmlformats.org/officeDocument/2006/customXml" ds:itemID="{4591135E-7A7C-4534-8238-94F52C3A13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1957</Words>
  <Characters>11159</Characters>
  <Application>Microsoft Office Word</Application>
  <DocSecurity>0</DocSecurity>
  <Lines>92</Lines>
  <Paragraphs>26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knt</cp:lastModifiedBy>
  <cp:revision>3</cp:revision>
  <cp:lastPrinted>2025-08-21T02:55:00Z</cp:lastPrinted>
  <dcterms:created xsi:type="dcterms:W3CDTF">2025-08-21T06:36:00Z</dcterms:created>
  <dcterms:modified xsi:type="dcterms:W3CDTF">2025-08-21T07:49:00Z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0x010100440AC5776D445D4AA0436B39D48A5D32</vt:lpwstr>
  </property>
</Properties>
</file>