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30"/>
        <w:jc w:val="center"/>
      </w:pPr>
      <w:bookmarkStart w:id="1" w:name="_GoBack"/>
      <w:bookmarkEnd w:id="1"/>
      <w:r>
        <w:rPr>
          <w:rFonts w:ascii="Calibri" w:hAnsi="Calibri" w:eastAsia="Calibri" w:cs="Calibri"/>
          <w:b/>
          <w:bCs/>
          <w:color w:val="1A3557"/>
          <w:sz w:val="38"/>
          <w:szCs w:val="38"/>
        </w:rPr>
        <w:t>SHARON WAMBUI KABURU</w:t>
      </w:r>
    </w:p>
    <w:p w14:paraId="00000002">
      <w:pPr>
        <w:spacing w:after="40"/>
        <w:jc w:val="center"/>
      </w:pPr>
      <w:r>
        <w:rPr>
          <w:rFonts w:ascii="Calibri" w:hAnsi="Calibri" w:eastAsia="Calibri" w:cs="Calibri"/>
          <w:i/>
          <w:iCs/>
          <w:color w:val="2E6DA4"/>
          <w:sz w:val="18"/>
          <w:szCs w:val="18"/>
        </w:rPr>
        <w:t xml:space="preserve">Resource </w:t>
      </w:r>
      <w:r>
        <w:rPr>
          <w:rFonts w:ascii="Calibri" w:hAnsi="Calibri" w:eastAsia="Calibri" w:cs="Calibri"/>
          <w:i/>
          <w:iCs/>
          <w:color w:val="2E6DA4"/>
          <w:sz w:val="18"/>
          <w:szCs w:val="18"/>
          <w:lang w:val="en-US"/>
        </w:rPr>
        <w:t>Mobilization</w:t>
      </w:r>
      <w:r>
        <w:rPr>
          <w:rFonts w:ascii="Calibri" w:hAnsi="Calibri" w:eastAsia="Calibri" w:cs="Calibri"/>
          <w:i/>
          <w:iCs/>
          <w:color w:val="2E6DA4"/>
          <w:sz w:val="18"/>
          <w:szCs w:val="18"/>
        </w:rPr>
        <w:t xml:space="preserve"> &amp; Development Professional  |  Gender, Education &amp; Child Protection</w:t>
      </w:r>
    </w:p>
    <w:p w14:paraId="00000003">
      <w:pPr>
        <w:pBdr>
          <w:bottom w:val="single" w:color="D0D8E4" w:sz="4" w:space="0"/>
        </w:pBdr>
        <w:spacing w:after="160"/>
        <w:jc w:val="center"/>
      </w:pPr>
      <w:bookmarkStart w:id="0" w:name="_otza7i2xjbl4" w:colFirst="0" w:colLast="0"/>
      <w:bookmarkEnd w:id="0"/>
      <w:r>
        <w:rPr>
          <w:rFonts w:ascii="Calibri" w:hAnsi="Calibri" w:eastAsia="Calibri" w:cs="Calibri"/>
          <w:color w:val="4A4A4A"/>
          <w:sz w:val="17"/>
          <w:szCs w:val="17"/>
        </w:rPr>
        <w:t>shamrim56@gmail.com   •   +254 724 872 565   •   Nairobi, Kenya</w:t>
      </w:r>
    </w:p>
    <w:p w14:paraId="00000004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PROFESSIONAL PROFILE</w:t>
      </w:r>
    </w:p>
    <w:p w14:paraId="00000005">
      <w:pPr>
        <w:spacing w:before="60" w:after="60"/>
      </w:pPr>
      <w:r>
        <w:rPr>
          <w:rFonts w:ascii="Calibri" w:hAnsi="Calibri" w:eastAsia="Calibri" w:cs="Calibri"/>
          <w:color w:val="4A4A4A"/>
          <w:sz w:val="18"/>
          <w:szCs w:val="18"/>
        </w:rPr>
        <w:t xml:space="preserve">Achievement-oriented development professional with 4+ years of progressive experience at Rescue Dada Centre, delivering results across resource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mobilization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, gender-responsive programming, education reintegration, and child protection for street-connected and vulnerable girls in urban Kenya.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Recognized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as an LFR Champion, with demonstrated success developing donor-facing proposals, strengthening funding pipelines, coordinating education support for 30–50 girls, and translating frontline programme experience into credible fundraising and partnership strategies. Holds a BA in Gender and Development Studies and brings a theory-of-change mindset, strong documentation discipline, and field-grounded insight to NGO and multilateral environments.</w:t>
      </w:r>
    </w:p>
    <w:p w14:paraId="00000006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PROFESSIONAL EXPERIENCE</w:t>
      </w:r>
    </w:p>
    <w:p w14:paraId="00000007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 xml:space="preserve">Resource </w:t>
      </w:r>
      <w:r>
        <w:rPr>
          <w:rFonts w:ascii="Calibri" w:hAnsi="Calibri" w:eastAsia="Calibri" w:cs="Calibri"/>
          <w:b/>
          <w:bCs/>
          <w:color w:val="1C1C1C"/>
          <w:lang w:val="en-US"/>
        </w:rPr>
        <w:t>Mobilization</w:t>
      </w:r>
      <w:r>
        <w:rPr>
          <w:rFonts w:ascii="Calibri" w:hAnsi="Calibri" w:eastAsia="Calibri" w:cs="Calibri"/>
          <w:b/>
          <w:bCs/>
          <w:color w:val="1C1C1C"/>
        </w:rPr>
        <w:t xml:space="preserve"> Officer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Rescue Dada Centre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April 2026 – Present</w:t>
      </w:r>
    </w:p>
    <w:p w14:paraId="00000008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09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Strengthen the Centre's funding base by leading a revised resource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mobilization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strategy that diversifies income across institutional grants, corporate partnerships, and individual giving campaigns.</w:t>
      </w:r>
    </w:p>
    <w:p w14:paraId="0000000A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Improve funding readiness by developing competitive concept notes and full grant proposals for bilateral and foundation donors, strengthening both secured and pending funding opportunities.</w:t>
      </w:r>
    </w:p>
    <w:p w14:paraId="0000000B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Increase proposal quality and compliance by conducting donor landscape research, screening aligned opportunities, and tracking submission deadlines and grant obligations across multiple concurrent opportunities.</w:t>
      </w:r>
    </w:p>
    <w:p w14:paraId="0000000C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Support transparent donor stewardship by managing fundraising budgets, improving financial tracking, and preparing stakeholder updates aligned with donor reporting expectations.</w:t>
      </w:r>
    </w:p>
    <w:p w14:paraId="0000000D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Expand the Centre's supporter network by cultivating prospective donors, corporate sponsors, and strategic partners through targeted engagement and stewardship.</w:t>
      </w:r>
    </w:p>
    <w:p w14:paraId="0000000E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Raise donor visibility and community engagement by designing targeted digital and in-person communications campaigns linked to fundraising priorities.</w:t>
      </w:r>
    </w:p>
    <w:p w14:paraId="0000000F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Strengthen institutional credibility by representing Rescue Dada at sector networking forums and donor briefings as a transparent, mission-aligned partner.</w:t>
      </w:r>
    </w:p>
    <w:p w14:paraId="00000010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Improve performance visibility by monitoring fundraising KPIs and output indicators, then providing quarterly updates to senior management and the Board.</w:t>
      </w:r>
    </w:p>
    <w:p w14:paraId="00000011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>Interim Head of Education Department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Rescue Dada Centre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Nov 2025 – Mar 2026</w:t>
      </w:r>
    </w:p>
    <w:p w14:paraId="00000012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13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Improved learning continuity for 30–50 girls in active rehabilitation by overseeing education programming and designing individualised learning plans aligned to Kenya's formal curriculum standards.</w:t>
      </w:r>
    </w:p>
    <w:p w14:paraId="00000014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Reduced barriers to school reintegration by coordinating placement assessments, admissions, and follow-up support for girls transitioning into local primary and secondary schools.</w:t>
      </w:r>
    </w:p>
    <w:p w14:paraId="00000015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Sustained post-discharge education outcomes by building collaborative networks with school heads, teachers, and scholarship sponsors.</w:t>
      </w:r>
    </w:p>
    <w:p w14:paraId="00000016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Improved case accountability by maintaining confidential education records, case histories, and progress reports within the Multidisciplinary Team (MDT) framework.</w:t>
      </w:r>
    </w:p>
    <w:p w14:paraId="00000017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Strengthened departmental planning and accountability by developing work plans, activity reports, and training schedules aligned with the Centre's strategic objectives.</w:t>
      </w:r>
    </w:p>
    <w:p w14:paraId="00000018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Enhanced holistic development outcomes by integrating GBV prevention, life skills, and parenting education into weekly gender-transformative programming.</w:t>
      </w:r>
    </w:p>
    <w:p w14:paraId="00000019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Protected beneficiary wellbeing by upholding rigorous child safeguarding and PSEA standards and advocating for children's rights across MDT forums.</w:t>
      </w:r>
    </w:p>
    <w:p w14:paraId="0000001A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>Teacher &amp; Psychosocial Support Officer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Rescue Dada Centre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May 2025 – Oct 2025</w:t>
      </w:r>
    </w:p>
    <w:p w14:paraId="0000001B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1C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Improved school reintegration readiness by delivering structured remedial education and using ongoing learning assessments to tailor instruction to individual academic gaps.</w:t>
      </w:r>
    </w:p>
    <w:p w14:paraId="0000001D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Supported successful school transition by combining tutorial classes, placement support, and continuous monitoring to reduce academic reintegration barriers.</w:t>
      </w:r>
    </w:p>
    <w:p w14:paraId="0000001E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Advanced holistic recovery by providing psychosocial support that addressed the emotional, social, and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behavioral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needs of rescued and street-connected girls.</w:t>
      </w:r>
    </w:p>
    <w:p w14:paraId="0000001F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Strengthened care planning by contributing multidisciplinary insights during MDT case conferences, reintegration reviews, and beneficiary support planning sessions.</w:t>
      </w:r>
    </w:p>
    <w:p w14:paraId="00000020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>Finance &amp; Records Support (Casual Contract)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TechnoServe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Apr – May 2025</w:t>
      </w:r>
    </w:p>
    <w:p w14:paraId="00000021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22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Improved document accessibility and financial data management by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digitizing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,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organizing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, and archiving records within a fast-paced development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organization</w:t>
      </w:r>
      <w:r>
        <w:rPr>
          <w:rFonts w:ascii="Calibri" w:hAnsi="Calibri" w:eastAsia="Calibri" w:cs="Calibri"/>
          <w:color w:val="4A4A4A"/>
          <w:sz w:val="18"/>
          <w:szCs w:val="18"/>
        </w:rPr>
        <w:t>.</w:t>
      </w:r>
    </w:p>
    <w:p w14:paraId="00000023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>Programme Support Intern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Women's Empowerment Link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  <w:lang w:val="en-US"/>
        </w:rPr>
        <w:t>Oct</w:t>
      </w:r>
      <w:r>
        <w:rPr>
          <w:rFonts w:ascii="Calibri" w:hAnsi="Calibri" w:eastAsia="Calibri" w:cs="Calibri"/>
          <w:color w:val="4A4A4A"/>
          <w:sz w:val="17"/>
          <w:szCs w:val="17"/>
        </w:rPr>
        <w:t xml:space="preserve"> 2023 – Apr 2024</w:t>
      </w:r>
    </w:p>
    <w:p w14:paraId="00000024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25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Strengthened project accountability by documenting activities and preparing accurate requisition and liquidation forms to support financial compliance and audit readiness.</w:t>
      </w:r>
    </w:p>
    <w:p w14:paraId="00000026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Built beneficiary leadership capacity by co-developing a women's leadership training curriculum focused on advocacy and decision-making.</w:t>
      </w:r>
    </w:p>
    <w:p w14:paraId="00000027">
      <w:pPr>
        <w:tabs>
          <w:tab w:val="right" w:pos="9360"/>
        </w:tabs>
        <w:spacing w:before="130" w:after="16"/>
      </w:pPr>
      <w:r>
        <w:rPr>
          <w:rFonts w:ascii="Calibri" w:hAnsi="Calibri" w:eastAsia="Calibri" w:cs="Calibri"/>
          <w:b/>
          <w:bCs/>
          <w:color w:val="1C1C1C"/>
        </w:rPr>
        <w:t>Programme Intern</w:t>
      </w:r>
      <w:r>
        <w:rPr>
          <w:rFonts w:ascii="Calibri" w:hAnsi="Calibri" w:eastAsia="Calibri" w:cs="Calibri"/>
          <w:color w:val="D0D8E4"/>
          <w:sz w:val="18"/>
          <w:szCs w:val="18"/>
        </w:rPr>
        <w:t xml:space="preserve">  |  </w:t>
      </w:r>
      <w:r>
        <w:rPr>
          <w:rFonts w:ascii="Calibri" w:hAnsi="Calibri" w:eastAsia="Calibri" w:cs="Calibri"/>
          <w:i/>
          <w:iCs/>
          <w:color w:val="2E6DA4"/>
          <w:sz w:val="19"/>
          <w:szCs w:val="19"/>
        </w:rPr>
        <w:t>Rescue Dada Centre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 xml:space="preserve">Jun – </w:t>
      </w:r>
      <w:r>
        <w:rPr>
          <w:rFonts w:ascii="Calibri" w:hAnsi="Calibri" w:eastAsia="Calibri" w:cs="Calibri"/>
          <w:color w:val="4A4A4A"/>
          <w:sz w:val="17"/>
          <w:szCs w:val="17"/>
          <w:lang w:val="en-US"/>
        </w:rPr>
        <w:t>Sep</w:t>
      </w:r>
      <w:r>
        <w:rPr>
          <w:rFonts w:ascii="Calibri" w:hAnsi="Calibri" w:eastAsia="Calibri" w:cs="Calibri"/>
          <w:color w:val="4A4A4A"/>
          <w:sz w:val="17"/>
          <w:szCs w:val="17"/>
        </w:rPr>
        <w:t xml:space="preserve"> 2022</w:t>
      </w:r>
    </w:p>
    <w:p w14:paraId="00000028">
      <w:pPr>
        <w:spacing w:after="50"/>
      </w:pPr>
      <w:r>
        <w:rPr>
          <w:rFonts w:ascii="Calibri" w:hAnsi="Calibri" w:eastAsia="Calibri" w:cs="Calibri"/>
          <w:i/>
          <w:iCs/>
          <w:color w:val="4A4A4A"/>
          <w:sz w:val="16"/>
          <w:szCs w:val="16"/>
        </w:rPr>
        <w:t>Nairobi, Kenya</w:t>
      </w:r>
    </w:p>
    <w:p w14:paraId="00000029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Built foundational child protection case management capability by documenting case histories, beneficiary data, and field visit outcomes.</w:t>
      </w:r>
    </w:p>
    <w:p w14:paraId="0000002A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Contributed to beneficiary recovery pathways by supporting rescue, rehabilitation, reintegration field activities, case follow-ups, and remedial education sessions for vulnerable girls.</w:t>
      </w:r>
    </w:p>
    <w:p w14:paraId="0000002B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EDUCATION &amp; PROFESSIONAL DEVELOPMENT</w:t>
      </w:r>
    </w:p>
    <w:p w14:paraId="0000002C">
      <w:pPr>
        <w:tabs>
          <w:tab w:val="right" w:pos="9360"/>
        </w:tabs>
        <w:spacing w:before="50" w:after="3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BA in Gender and Development Studies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2019 – 2023</w:t>
      </w:r>
      <w:r>
        <w:br w:type="textWrapping"/>
      </w:r>
      <w:r>
        <w:rPr>
          <w:rFonts w:ascii="Calibri" w:hAnsi="Calibri" w:eastAsia="Calibri" w:cs="Calibri"/>
          <w:i/>
          <w:iCs/>
          <w:color w:val="4A4A4A"/>
          <w:sz w:val="17"/>
          <w:szCs w:val="17"/>
        </w:rPr>
        <w:t>Kenyatta University</w:t>
      </w:r>
    </w:p>
    <w:p w14:paraId="0000002D">
      <w:pPr>
        <w:tabs>
          <w:tab w:val="right" w:pos="9360"/>
        </w:tabs>
        <w:spacing w:before="50" w:after="3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Local Fundraising (LFR) Course  |  LFR Champion Designation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Apr – Aug 2026</w:t>
      </w:r>
      <w:r>
        <w:br w:type="textWrapping"/>
      </w:r>
      <w:r>
        <w:rPr>
          <w:rFonts w:ascii="Calibri" w:hAnsi="Calibri" w:eastAsia="Calibri" w:cs="Calibri"/>
          <w:i/>
          <w:iCs/>
          <w:color w:val="4A4A4A"/>
          <w:sz w:val="17"/>
          <w:szCs w:val="17"/>
        </w:rPr>
        <w:t>KCDF &amp; Change the Game Academy</w:t>
      </w:r>
    </w:p>
    <w:p w14:paraId="0000002E">
      <w:pPr>
        <w:tabs>
          <w:tab w:val="right" w:pos="9360"/>
        </w:tabs>
        <w:spacing w:before="50" w:after="3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Employability Skills Development Training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Oct – Dec 2024</w:t>
      </w:r>
      <w:r>
        <w:br w:type="textWrapping"/>
      </w:r>
      <w:r>
        <w:rPr>
          <w:rFonts w:ascii="Calibri" w:hAnsi="Calibri" w:eastAsia="Calibri" w:cs="Calibri"/>
          <w:i/>
          <w:iCs/>
          <w:color w:val="4A4A4A"/>
          <w:sz w:val="17"/>
          <w:szCs w:val="17"/>
        </w:rPr>
        <w:t>American Corner, Moi University</w:t>
      </w:r>
    </w:p>
    <w:p w14:paraId="0000002F">
      <w:pPr>
        <w:tabs>
          <w:tab w:val="right" w:pos="9360"/>
        </w:tabs>
        <w:spacing w:before="50" w:after="3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Certificate in Leadership Development (GOLD Programme)</w:t>
      </w:r>
      <w:r>
        <w:rPr>
          <w:rFonts w:ascii="Calibri" w:hAnsi="Calibri" w:eastAsia="Calibri" w:cs="Calibri"/>
          <w:color w:val="4A4A4A"/>
          <w:sz w:val="17"/>
          <w:szCs w:val="17"/>
        </w:rPr>
        <w:tab/>
      </w:r>
      <w:r>
        <w:rPr>
          <w:rFonts w:ascii="Calibri" w:hAnsi="Calibri" w:eastAsia="Calibri" w:cs="Calibri"/>
          <w:color w:val="4A4A4A"/>
          <w:sz w:val="17"/>
          <w:szCs w:val="17"/>
        </w:rPr>
        <w:t>Oct 2022</w:t>
      </w:r>
      <w:r>
        <w:br w:type="textWrapping"/>
      </w:r>
      <w:r>
        <w:rPr>
          <w:rFonts w:ascii="Calibri" w:hAnsi="Calibri" w:eastAsia="Calibri" w:cs="Calibri"/>
          <w:i/>
          <w:iCs/>
          <w:color w:val="4A4A4A"/>
          <w:sz w:val="17"/>
          <w:szCs w:val="17"/>
        </w:rPr>
        <w:t xml:space="preserve">Global </w:t>
      </w:r>
      <w:r>
        <w:rPr>
          <w:rFonts w:ascii="Calibri" w:hAnsi="Calibri" w:eastAsia="Calibri" w:cs="Calibri"/>
          <w:i/>
          <w:iCs/>
          <w:color w:val="4A4A4A"/>
          <w:sz w:val="17"/>
          <w:szCs w:val="17"/>
          <w:lang w:val="en-US"/>
        </w:rPr>
        <w:t>Organization</w:t>
      </w:r>
      <w:r>
        <w:rPr>
          <w:rFonts w:ascii="Calibri" w:hAnsi="Calibri" w:eastAsia="Calibri" w:cs="Calibri"/>
          <w:i/>
          <w:iCs/>
          <w:color w:val="4A4A4A"/>
          <w:sz w:val="17"/>
          <w:szCs w:val="17"/>
        </w:rPr>
        <w:t xml:space="preserve"> &amp; Leaders Development</w:t>
      </w:r>
    </w:p>
    <w:p w14:paraId="00000030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CORE COMPETENCIES</w:t>
      </w:r>
    </w:p>
    <w:p w14:paraId="00000031">
      <w:pPr>
        <w:spacing w:before="40" w:after="4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Resource </w:t>
      </w:r>
      <w:r>
        <w:rPr>
          <w:rFonts w:ascii="Calibri" w:hAnsi="Calibri" w:eastAsia="Calibri" w:cs="Calibri"/>
          <w:b/>
          <w:bCs/>
          <w:color w:val="1C1C1C"/>
          <w:sz w:val="18"/>
          <w:szCs w:val="18"/>
          <w:lang w:val="en-US"/>
        </w:rPr>
        <w:t>Mobilization</w:t>
      </w: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: </w:t>
      </w:r>
      <w:r>
        <w:rPr>
          <w:rFonts w:ascii="Calibri" w:hAnsi="Calibri" w:eastAsia="Calibri" w:cs="Calibri"/>
          <w:color w:val="4A4A4A"/>
          <w:sz w:val="18"/>
          <w:szCs w:val="18"/>
        </w:rPr>
        <w:t>Grant Writing &amp; Proposal Development, Donor Cultivation &amp; Stewardship, Concept Note Preparation, Fundraising Strategy, Campaign Management, Budget Tracking, Partnership Development</w:t>
      </w:r>
    </w:p>
    <w:p w14:paraId="00000032">
      <w:pPr>
        <w:spacing w:before="40" w:after="4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Programme Management: </w:t>
      </w:r>
      <w:r>
        <w:rPr>
          <w:rFonts w:ascii="Calibri" w:hAnsi="Calibri" w:eastAsia="Calibri" w:cs="Calibri"/>
          <w:color w:val="4A4A4A"/>
          <w:sz w:val="18"/>
          <w:szCs w:val="18"/>
        </w:rPr>
        <w:t>Theory of Change, LogFrame/Results Framework, Monitoring &amp; Evaluation (M&amp;E), Work Plan Development, Case Management, Reporting &amp; Documentation</w:t>
      </w:r>
    </w:p>
    <w:p w14:paraId="00000033">
      <w:pPr>
        <w:spacing w:before="40" w:after="4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Child &amp; Gender Programming: </w:t>
      </w:r>
      <w:r>
        <w:rPr>
          <w:rFonts w:ascii="Calibri" w:hAnsi="Calibri" w:eastAsia="Calibri" w:cs="Calibri"/>
          <w:color w:val="4A4A4A"/>
          <w:sz w:val="18"/>
          <w:szCs w:val="18"/>
        </w:rPr>
        <w:t>Child Safeguarding, PSEA, GBV Prevention, Gender-Transformative Programming, Reintegration Programming, Capacity Building, Community-Based Approaches</w:t>
      </w:r>
    </w:p>
    <w:p w14:paraId="00000034">
      <w:pPr>
        <w:spacing w:before="40" w:after="4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Stakeholder Engagement: </w:t>
      </w:r>
      <w:r>
        <w:rPr>
          <w:rFonts w:ascii="Calibri" w:hAnsi="Calibri" w:eastAsia="Calibri" w:cs="Calibri"/>
          <w:color w:val="4A4A4A"/>
          <w:sz w:val="18"/>
          <w:szCs w:val="18"/>
        </w:rPr>
        <w:t>Institutional Donor Relations, Stakeholder Mapping, Cross-Sector Partnerships, Representation &amp; Networking, Cross-Cultural Communication</w:t>
      </w:r>
    </w:p>
    <w:p w14:paraId="00000035">
      <w:pPr>
        <w:spacing w:before="40" w:after="4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 xml:space="preserve">Technical: </w:t>
      </w:r>
      <w:r>
        <w:rPr>
          <w:rFonts w:ascii="Calibri" w:hAnsi="Calibri" w:eastAsia="Calibri" w:cs="Calibri"/>
          <w:color w:val="4A4A4A"/>
          <w:sz w:val="18"/>
          <w:szCs w:val="18"/>
        </w:rPr>
        <w:t>Microsoft Office Suite (Advanced Excel, Word, PowerPoint), Fundraising CRM Tools, Data Management &amp; Archiving</w:t>
      </w:r>
    </w:p>
    <w:p w14:paraId="00000036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SELECTED ACHIEVEMENTS</w:t>
      </w:r>
    </w:p>
    <w:p w14:paraId="00000037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LFR Champion Designation (2026) —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Recognized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by KCDF and Change the Game Academy for demonstrated capability in local fundraising strategy, donor engagement, and resource </w:t>
      </w:r>
      <w:r>
        <w:rPr>
          <w:rFonts w:ascii="Calibri" w:hAnsi="Calibri" w:eastAsia="Calibri" w:cs="Calibri"/>
          <w:color w:val="4A4A4A"/>
          <w:sz w:val="18"/>
          <w:szCs w:val="18"/>
          <w:lang w:val="en-US"/>
        </w:rPr>
        <w:t>mobilization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practice.</w:t>
      </w:r>
    </w:p>
    <w:p w14:paraId="00000038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Education Reintegration Lead — Supported multiple cohorts of girls to transition into formal school by coordinating placements, academic follow-up, and school-based continuity support during a critical programme-scaling phase.</w:t>
      </w:r>
    </w:p>
    <w:p w14:paraId="00000039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Gender Advocacy — Advanced community awareness through 16 Days of Activism campaigns (2021–2022), the Narooosura Pad &amp; Underwear Drive in Narok County, and service as CAMPUSMETOO ambassador (2020–2023).</w:t>
      </w:r>
    </w:p>
    <w:p w14:paraId="0000003A">
      <w:pPr>
        <w:spacing w:before="30" w:after="30"/>
        <w:ind w:left="288" w:hanging="259"/>
      </w:pPr>
      <w:r>
        <w:rPr>
          <w:rFonts w:ascii="Calibri" w:hAnsi="Calibri" w:eastAsia="Calibri" w:cs="Calibri"/>
          <w:color w:val="2E6DA4"/>
          <w:sz w:val="18"/>
          <w:szCs w:val="18"/>
        </w:rPr>
        <w:t xml:space="preserve">▪  </w:t>
      </w:r>
      <w:r>
        <w:rPr>
          <w:rFonts w:ascii="Calibri" w:hAnsi="Calibri" w:eastAsia="Calibri" w:cs="Calibri"/>
          <w:color w:val="4A4A4A"/>
          <w:sz w:val="18"/>
          <w:szCs w:val="18"/>
        </w:rPr>
        <w:t>Enactus Kenya BIC Challenge Finalist (2022) — Represented Kenyatta University nationally, demonstrating social innovation, entrepreneurship, and public presentation capability.</w:t>
      </w:r>
    </w:p>
    <w:p w14:paraId="0000003B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LANGUAGES</w:t>
      </w:r>
    </w:p>
    <w:p w14:paraId="0000003C">
      <w:pPr>
        <w:spacing w:before="50" w:after="50"/>
      </w:pP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English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— Fluent (spoken, written, reading)     </w:t>
      </w:r>
      <w:r>
        <w:rPr>
          <w:rFonts w:ascii="Calibri" w:hAnsi="Calibri" w:eastAsia="Calibri" w:cs="Calibri"/>
          <w:b/>
          <w:bCs/>
          <w:color w:val="1C1C1C"/>
          <w:sz w:val="18"/>
          <w:szCs w:val="18"/>
        </w:rPr>
        <w:t>Swahili</w:t>
      </w:r>
      <w:r>
        <w:rPr>
          <w:rFonts w:ascii="Calibri" w:hAnsi="Calibri" w:eastAsia="Calibri" w:cs="Calibri"/>
          <w:color w:val="4A4A4A"/>
          <w:sz w:val="18"/>
          <w:szCs w:val="18"/>
        </w:rPr>
        <w:t xml:space="preserve"> — Fluent (spoken, written, reading)</w:t>
      </w:r>
    </w:p>
    <w:p w14:paraId="0000003D">
      <w:pPr>
        <w:pBdr>
          <w:bottom w:val="single" w:color="1A3557" w:sz="6" w:space="0"/>
        </w:pBdr>
        <w:spacing w:before="160" w:after="60"/>
      </w:pPr>
      <w:r>
        <w:rPr>
          <w:rFonts w:ascii="Calibri" w:hAnsi="Calibri" w:eastAsia="Calibri" w:cs="Calibri"/>
          <w:b/>
          <w:bCs/>
          <w:color w:val="1A3557"/>
          <w:sz w:val="21"/>
          <w:szCs w:val="21"/>
        </w:rPr>
        <w:t>REFERENCES</w:t>
      </w:r>
    </w:p>
    <w:p w14:paraId="0000003E">
      <w:pPr>
        <w:spacing w:after="0"/>
      </w:pPr>
      <w:r>
        <w:rPr>
          <w:b/>
          <w:bCs/>
        </w:rPr>
        <w:t>Vanessa Buyayi</w:t>
      </w:r>
      <w:r>
        <w:t xml:space="preserve"> | Activista</w:t>
      </w:r>
      <w:r>
        <w:br w:type="textWrapping"/>
      </w:r>
      <w:r>
        <w:t>Mobile: +254 704 457 573</w:t>
      </w:r>
      <w:r>
        <w:br w:type="textWrapping"/>
      </w:r>
      <w:r>
        <w:t>Email: vbuyayi@gmail.com</w:t>
      </w:r>
    </w:p>
    <w:p w14:paraId="0000003F">
      <w:pPr>
        <w:spacing w:after="0"/>
      </w:pPr>
      <w:r>
        <w:rPr>
          <w:b/>
          <w:bCs/>
        </w:rPr>
        <w:t>Esther Mala</w:t>
      </w:r>
      <w:r>
        <w:t xml:space="preserve"> | Women’s Empowerment Link</w:t>
      </w:r>
      <w:r>
        <w:br w:type="textWrapping"/>
      </w:r>
      <w:r>
        <w:t>Mobile: +254 711 800 902</w:t>
      </w:r>
      <w:r>
        <w:br w:type="textWrapping"/>
      </w:r>
      <w:r>
        <w:t>Email: info@wel.or.ke</w:t>
      </w:r>
    </w:p>
    <w:p w14:paraId="00000040">
      <w:pPr>
        <w:spacing w:after="0"/>
      </w:pPr>
      <w:r>
        <w:rPr>
          <w:b/>
          <w:bCs/>
        </w:rPr>
        <w:t>Cavin Apodo</w:t>
      </w:r>
      <w:r>
        <w:t xml:space="preserve"> | American Corner Moi</w:t>
      </w:r>
      <w:r>
        <w:br w:type="textWrapping"/>
      </w:r>
      <w:r>
        <w:t>Mobile: +254 717 627 632</w:t>
      </w:r>
      <w:r>
        <w:br w:type="textWrapping"/>
      </w:r>
      <w:r>
        <w:t>Email: acmoi@ke.americanspaces.info</w:t>
      </w:r>
    </w:p>
    <w:sectPr>
      <w:pgSz w:w="11906" w:h="16838"/>
      <w:pgMar w:top="863" w:right="1036" w:bottom="863" w:left="1036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Georgia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宋体" w:cs="Times New Roman"/>
      <w:lang w:val="zh-C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10">
    <w:name w:val="Default Paragraph Font"/>
    <w:semiHidden/>
    <w:uiPriority w:val="0"/>
  </w:style>
  <w:style w:type="table" w:default="1" w:styleId="11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2">
    <w:name w:val="TableNormal"/>
    <w:uiPriority w:val="0"/>
    <w:tblPr>
      <w:tblLayout w:type="fixed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2026-08-19T08:04:18Z</dcterms:created>
  <cp:lastModifiedBy>iPad</cp:lastModifiedBy>
  <dcterms:modified xsi:type="dcterms:W3CDTF">2026-09-23T20:46:52Z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563552fc-846d-4ddd-a169-f9548a4fb1dd</vt:lpwstr>
  </property>
  <property fmtid="{D5CDD505-2E9C-101B-9397-08002B2CF9AE}" pid="3" name="ICV">
    <vt:lpwstr>4DCA2FD1A79211BD8C10B46AED773697_33</vt:lpwstr>
  </property>
  <property fmtid="{D5CDD505-2E9C-101B-9397-08002B2CF9AE}" pid="4" name="KSOProductBuildVer">
    <vt:lpwstr>3081-26.8.1</vt:lpwstr>
  </property>
</Properties>
</file>