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60"/>
        <w:jc w:val="center"/>
      </w:pPr>
      <w:r>
        <w:rPr>
          <w:b/>
          <w:bCs/>
          <w:color w:val="1A5C38"/>
          <w:sz w:val="22"/>
          <w:szCs w:val="22"/>
        </w:rPr>
        <w:t xml:space="preserve">RÉPUBLIQUE DU CAMEROUN</w:t>
      </w:r>
    </w:p>
    <w:p>
      <w:pPr>
        <w:spacing w:before="0" w:after="60"/>
        <w:jc w:val="center"/>
      </w:pPr>
      <w:r>
        <w:rPr>
          <w:i/>
          <w:iCs/>
          <w:color w:val="717D7E"/>
          <w:sz w:val="18"/>
          <w:szCs w:val="18"/>
        </w:rPr>
        <w:t xml:space="preserve">Paix  —  Travail  —  Patrie</w:t>
      </w:r>
    </w:p>
    <w:p>
      <w:pPr>
        <w:spacing w:before="60" w:after="40"/>
        <w:jc w:val="center"/>
      </w:pPr>
      <w:r>
        <w:rPr>
          <w:b/>
          <w:bCs/>
          <w:color w:val="1A5C38"/>
          <w:sz w:val="24"/>
          <w:szCs w:val="24"/>
        </w:rPr>
        <w:t xml:space="preserve">MINISTÈRE DÉLÉGUÉ CHARGÉ DU DÉVELOPPEMENT LOCAL (MDDL)</w:t>
      </w:r>
    </w:p>
    <w:p>
      <w:pPr>
        <w:pBdr>
          <w:bottom w:val="double" w:color="27AE60" w:sz="10" w:space="8"/>
        </w:pBdr>
        <w:spacing w:before="0" w:after="200"/>
        <w:jc w:val="center"/>
      </w:pPr>
      <w:r>
        <w:rPr>
          <w:b/>
          <w:bCs/>
          <w:color w:val="1F618D"/>
          <w:sz w:val="20"/>
          <w:szCs w:val="20"/>
        </w:rPr>
        <w:t xml:space="preserve">Cellule de Promotion du Développement Socio-Économique des Collectivités Territoriales (CPDSE-CT)</w:t>
      </w:r>
    </w:p>
    <w:p>
      <w:pPr>
        <w:spacing w:before="200" w:after="80"/>
        <w:jc w:val="center"/>
      </w:pPr>
      <w:r>
        <w:rPr>
          <w:b/>
          <w:bCs/>
          <w:color w:val="1A5C38"/>
          <w:sz w:val="38"/>
          <w:szCs w:val="38"/>
        </w:rPr>
        <w:t xml:space="preserve">CAHIER DES CHARGES</w:t>
      </w:r>
    </w:p>
    <w:p>
      <w:pPr>
        <w:spacing w:before="40" w:after="300"/>
        <w:jc w:val="center"/>
      </w:pPr>
      <w:r>
        <w:rPr>
          <w:i/>
          <w:iCs/>
          <w:color w:val="717D7E"/>
          <w:sz w:val="22"/>
          <w:szCs w:val="22"/>
        </w:rPr>
        <w:t xml:space="preserve">Logiciel de gestion MDDL / CPDSE-CT — Fonctionnel &amp; Technique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Version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Date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2025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Statut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8"/>
                <w:szCs w:val="18"/>
              </w:rPr>
              <w:t xml:space="preserve">🟢  En développement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Structure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8"/>
                <w:szCs w:val="18"/>
              </w:rPr>
              <w:t xml:space="preserve">CPDSE-CT / SDSE / MDDL</w:t>
            </w:r>
          </w:p>
        </w:tc>
      </w:tr>
      <w:tr>
        <w:tc>
          <w:tcPr>
            <w:tcW w:type="dxa" w:w="2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Référence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717D7E"/>
                <w:sz w:val="18"/>
                <w:szCs w:val="18"/>
              </w:rPr>
              <w:t xml:space="preserve">PTBA_CPDSE-CT_Logiciel_044027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1. CONTEXTE ET OBJECTIFS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Numériser la gestion du PTBA, des activités et des rapports de la CPDSE-CT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Faciliter la saisie hebdomadaire et mensuelle des rapports d'activités par les agents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Assurer le suivi en temps réel du taux de réalisation du PTBA par axe et par activité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Produire automatiquement les documents institutionnels (rapports, canevas, PTBA) conformes aux modèles MDDL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Permettre le suivi budgétaire (État + PTF) et les alertes d'échéances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Centraliser la gestion documentaire et la traçabilité des actions de la cellule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2. PÉRIMÈTRE FONCTIONNEL — LES 14 MODULES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Tableau de synthèse des écrans et priorités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900"/>
        <w:gridCol w:w="800"/>
        <w:gridCol w:w="1300"/>
      </w:tblGrid>
      <w:tr>
        <w:trPr>
          <w:tblHeader/>
        </w:trPr>
        <w:tc>
          <w:tcPr>
            <w:tcW w:type="dxa" w:w="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N°</w:t>
            </w:r>
          </w:p>
        </w:tc>
        <w:tc>
          <w:tcPr>
            <w:tcW w:type="dxa" w:w="1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Module / Écran</w:t>
            </w:r>
          </w:p>
        </w:tc>
        <w:tc>
          <w:tcPr>
            <w:tcW w:type="dxa" w:w="39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Fonctionnalités principales</w:t>
            </w:r>
          </w:p>
        </w:tc>
        <w:tc>
          <w:tcPr>
            <w:tcW w:type="dxa" w:w="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Priorité</w:t>
            </w:r>
          </w:p>
        </w:tc>
        <w:tc>
          <w:tcPr>
            <w:tcW w:type="dxa" w:w="13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Sprint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Tableau de bord (Dashboard)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Vue synthétique : activités du jour, tâches en attente, alertes (échéances, budgets), raccourcis vers modules principaux, KPIs PTBA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PTBA — Plan de Travail Annuel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Saisie/édition du PTBA (axes, objectifs, activités, livrables, indicateurs, responsables, calendrier mensuel, financement État/PTF)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1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Suivi des activités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Mise à jour statut activités (finalisée/en cours/suspendue/non démarrée), saisie résultats réels vs attendus, lien avec PTBA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Canevas de rapport hebdomadaire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Saisie des activités hebdomadaires (description, événement connexe, lieu, structure, responsable, personnes assoc., dates, statut), génération automatique du rapport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Rapport mensuel d'activités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Synthèse automatique des rapports hebdomadaires du mois, récapitulatif par axe PTBA, taux de réalisation, difficultés, perspectives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Gestion des tâches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Création/assignation de tâches aux agents, priorités, échéances, suivi avancement (%), relances automatiques, vue Kanban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Gestion des agents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Fiche agent (nom, matricule, corps, grade, poste), affectation tâches/activités, suivi charge de travail, historique activités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950B"/>
                <w:sz w:val="16"/>
                <w:szCs w:val="16"/>
              </w:rPr>
              <w:t xml:space="preserve">Moyenne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Suivi budgétaire (PTBA)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Saisie dépenses vs budget prévu (État/PTF), taux d'exécution budgétaire par axe/activité, alertes dépassement, graphiques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3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Gestion des PDC (Communes)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Base de données communes (10 régions), fiches PDC, suivi mise en œuvre, missions terrain, taux d'avancement par commune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950B"/>
                <w:sz w:val="16"/>
                <w:szCs w:val="16"/>
              </w:rPr>
              <w:t xml:space="preserve">Moyenne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4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Gestion des partenaires (PTF)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Répertoire PTF (PNDP, BM, UE, FEICOM…), projets en cours, financements, contacts, rapports de coordination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950B"/>
                <w:sz w:val="16"/>
                <w:szCs w:val="16"/>
              </w:rPr>
              <w:t xml:space="preserve">Moyenne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4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Reporting &amp; Statistiques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Tableaux de bord analytiques : CA activités, taux réalisation PTBA, analyse par axe, graphiques évolution, export rapports PDF/Excel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5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Rapport de stage probatoire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Canevas numérique du rapport de stage : saisie sections (présentation, activités, compétences, difficultés, recommandations), génération PDF institutionnel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950B"/>
                <w:sz w:val="16"/>
                <w:szCs w:val="16"/>
              </w:rPr>
              <w:t xml:space="preserve">Moyenne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5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Gestion documentaire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Archivage numérique : TdR, arrêtés, comptes rendus, rapports, ordres de mission — classement par axe/activité/date, recherche full-text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EF9E7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B7950B"/>
                <w:sz w:val="16"/>
                <w:szCs w:val="16"/>
              </w:rPr>
              <w:t xml:space="preserve">Moyenne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6</w:t>
            </w:r>
          </w:p>
        </w:tc>
      </w:tr>
      <w:tr>
        <w:tc>
          <w:tcPr>
            <w:tcW w:type="dxa" w:w="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Paramétrage &amp; Administration</w:t>
            </w:r>
          </w:p>
        </w:tc>
        <w:tc>
          <w:tcPr>
            <w:tcW w:type="dxa" w:w="3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Configuration MDDL/CPDSE-CT, gestion utilisateurs/rôles (Chef de cellule, agent, stagiaire, auditeur), exercice budgétaire, structures associées</w:t>
            </w:r>
          </w:p>
        </w:tc>
        <w:tc>
          <w:tcPr>
            <w:tcW w:type="dxa" w:w="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DBD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C0392B"/>
                <w:sz w:val="16"/>
                <w:szCs w:val="16"/>
              </w:rPr>
              <w:t xml:space="preserve">Haute</w:t>
            </w:r>
          </w:p>
        </w:tc>
        <w:tc>
          <w:tcPr>
            <w:tcW w:type="dxa" w:w="13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Sprint 1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3. ARCHITECTURE TECHNIQUE</w:t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Stack Flutter recommandée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Composant</w:t>
            </w:r>
          </w:p>
        </w:tc>
        <w:tc>
          <w:tcPr>
            <w:tcW w:type="dxa" w:w="7000"/>
            <w:gridSpan w:val="1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A9DFB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Détail technique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Framework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Flutter 3.x (Dart) — Desktop Windows/Linux/Mac + Mobile Android/iOS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Base de données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SQLite via drift — Mode offline complet, synchronisation réseau local MDDL optionnelle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Riverpod — Architecture Clean Architecture + Repository Pattern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Navigation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GoRouter — Déclarative, multi-plateforme, gestion des rôles par route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UI Design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Material 3 — Palette vert institutionnel Cameroun, thème clair/sombre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Graphiques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fl_chart — Courbes taux réalisation PTBA, histogrammes budgétaires, jauges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Export PDF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printing + pdf — Rapports institutionnels, canevas, PTBA, rapport de stage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Export Excel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excel (xlsx) — PTBA, tableaux de bord, exports budgétaires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Notifications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flutter_local_notifications — Alertes échéances, rappels tâches, relances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Sécurité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Authentification PIN/biométrie, rôles granulaires, base chiffrée AES-256</w:t>
            </w:r>
          </w:p>
        </w:tc>
      </w:tr>
      <w:tr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Tests</w:t>
            </w:r>
          </w:p>
        </w:tc>
        <w:tc>
          <w:tcPr>
            <w:tcW w:type="dxa" w:w="7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flutter_test + integration_test — Couverture cible &gt; 80%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160" w:after="80"/>
      </w:pPr>
      <w:r>
        <w:rPr>
          <w:b/>
          <w:bCs/>
          <w:color w:val="1F618D"/>
          <w:sz w:val="20"/>
          <w:szCs w:val="20"/>
          <w:u w:val="single"/>
        </w:rPr>
        <w:t xml:space="preserve">Structure de navigation de l'application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NavigationRail (sidebar) : accès direct aux 14 modules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AppBar contextuelle : titre du module actif + actions rapides (nouveau rapport, nouvelle tâche…)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Corps principal : contenu avec onglets (TabBar) selon les modules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FloatingActionButton : "Nouvelle activité" / "Nouveau rapport hebdo"</w:t>
      </w:r>
    </w:p>
    <w:p>
      <w:pPr>
        <w:spacing w:before="40" w:after="40"/>
        <w:ind w:left="400"/>
      </w:pPr>
      <w:r>
        <w:rPr>
          <w:color w:val="1C2833"/>
          <w:sz w:val="18"/>
          <w:szCs w:val="18"/>
        </w:rPr>
        <w:t xml:space="preserve">▸  Notifications bottom : alertes échéances, rappels, statuts de synchronisation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4. BASE DE DONNÉES SQLITE — SCHÉMA (16 TABLES)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57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Table SQLite</w:t>
            </w:r>
          </w:p>
        </w:tc>
        <w:tc>
          <w:tcPr>
            <w:tcW w:type="dxa" w:w="1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Rôle</w:t>
            </w:r>
          </w:p>
        </w:tc>
        <w:tc>
          <w:tcPr>
            <w:tcW w:type="dxa" w:w="5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Champs principaux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utilisateurs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Comptes &amp; rôles agents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matricule, nom, prenom, corps, grade, role, login, password_hash, actif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exercices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Exercices budgétaires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annee, statut (ouvert/cloturé), date_ouverture, date_cloture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axes_ptba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Axes du PTBA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exercice_id, code, intitule, responsable_id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objectifs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Objectifs par axe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axe_id, intitule, responsable_id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activites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Activités PTBA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objectif_id, intitule, resultat_attendu, indicateur, moyen_verification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planning_activites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Calendrier mensuel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activite_id, mois (1-12), planifie (bool)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financement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Budget par activité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activite_id, source (Etat/PTF), montant_prevu, montant_realise, ptf_id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suivi_activites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Réalisations terrain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activite_id, date_maj, statut, resultat_reel, taux_realisation, observations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rapports_hebdo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Rapports hebdomadaires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agent_id, semaine, date_debut, date_fin, statut_validation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lignes_rapport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Lignes du rapport hebdo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rapport_id, description, evenement_connexe, lieu, structure_id, responsable, date_debut, date_fin, statut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taches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Tâches assignées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intitule, activite_id, agent_id, priorite, date_assignation, echeance, avancement, statut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agents_structures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Agents &amp; structures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agent_id, structure_id, fonction, date_affectation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communes_pdc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Communes &amp; PDC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nom, region, statut_pdc, date_adoption_pdc, taux_avancement, agent_suivi_id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partenaires_ptf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Partenaires PTF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nom, sigle, type, contact, financements_json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documents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GED — Documents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titre, type, activite_id, agent_id, date, chemin_fichier, tags</w:t>
            </w:r>
          </w:p>
        </w:tc>
      </w:tr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stages_probatoires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F618D"/>
                <w:sz w:val="17"/>
                <w:szCs w:val="17"/>
              </w:rPr>
              <w:t xml:space="preserve">Rapports de stage</w:t>
            </w:r>
          </w:p>
        </w:tc>
        <w:tc>
          <w:tcPr>
            <w:tcW w:type="dxa" w:w="5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6EAF8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  <w:color w:val="555555"/>
                <w:sz w:val="16"/>
                <w:szCs w:val="16"/>
              </w:rPr>
              <w:t xml:space="preserve">id, stagiaire_id, superviseur_id, date_debut, date_fin, statut, sections_json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5. RÔLES UTILISATEURS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8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Rôle</w:t>
            </w:r>
          </w:p>
        </w:tc>
        <w:tc>
          <w:tcPr>
            <w:tcW w:type="dxa" w:w="3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Accès autorisés</w:t>
            </w:r>
          </w:p>
        </w:tc>
        <w:tc>
          <w:tcPr>
            <w:tcW w:type="dxa" w:w="38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Restrictions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Chef de Cellule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Tous modules — lecture/écriture/validation/export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Aucune — accès total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Agent CPDSE-CT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Rapport hebdo, suivi activités, tâches, GED, consultation PTBA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Pas de modification PTBA ni paramétrage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Stagiaire probatoire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Rapport de stage, rapport hebdo (propre), consultation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Lecture seule sur données sensibles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Auditeur / SG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Consultation tous modules, export, tableau de bord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Aucune écriture</w:t>
            </w:r>
          </w:p>
        </w:tc>
      </w:tr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Administrateur SI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Paramétrage, utilisateurs, BDD, sauvegardes</w:t>
            </w:r>
          </w:p>
        </w:tc>
        <w:tc>
          <w:tcPr>
            <w:tcW w:type="dxa" w:w="3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7"/>
                <w:szCs w:val="17"/>
              </w:rPr>
              <w:t xml:space="preserve">Non accès données métier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left w:val="thick" w:color="27AE60" w:sz="22" w:space="8"/>
        </w:pBdr>
        <w:spacing w:before="280" w:after="120"/>
      </w:pPr>
      <w:r>
        <w:rPr>
          <w:b/>
          <w:bCs/>
          <w:color w:val="1A5C38"/>
          <w:sz w:val="24"/>
          <w:szCs w:val="24"/>
        </w:rPr>
        <w:t xml:space="preserve">  6. LIVRABLES ATTENDUS</w:t>
      </w:r>
    </w:p>
    <w:p>
      <w:pPr>
        <w:spacing w:before="40" w:after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200"/>
        <w:gridCol w:w="1400"/>
        <w:gridCol w:w="1700"/>
      </w:tblGrid>
      <w:tr>
        <w:trPr>
          <w:tblHeader/>
        </w:trPr>
        <w:tc>
          <w:tcPr>
            <w:tcW w:type="dxa" w:w="5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Réf.</w:t>
            </w:r>
          </w:p>
        </w:tc>
        <w:tc>
          <w:tcPr>
            <w:tcW w:type="dxa" w:w="2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Livrable</w:t>
            </w:r>
          </w:p>
        </w:tc>
        <w:tc>
          <w:tcPr>
            <w:tcW w:type="dxa" w:w="32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4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Format</w:t>
            </w:r>
          </w:p>
        </w:tc>
        <w:tc>
          <w:tcPr>
            <w:tcW w:type="dxa" w:w="1700"/>
            <w:gridSpan w:val="1"/>
            <w:tcBorders>
              <w:top w:val="single" w:color="1F618D" w:sz="4"/>
              <w:left w:val="single" w:color="1F618D" w:sz="4"/>
              <w:bottom w:val="single" w:color="1F618D" w:sz="4"/>
              <w:right w:val="single" w:color="1F618D" w:sz="4"/>
            </w:tcBorders>
            <w:shd w:fill="AED6F1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Échéance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L1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Application installable Flutter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Exécutables Windows (.exe), Android (.apk) signés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Binaires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Fin Sprint 6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L2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Code source documenté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Repository Git, README, architecture documentée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GitHub / ZIP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Fin Sprint 6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L3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Manuel utilisateur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Guide par profil (Chef cellule, agent, stagiaire, admin)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PDF illustré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Fin Sprint 6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L4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Base de données initiale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SQLite pré-chargée (structure MDDL, exercice 2025)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Fichier .db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Sprint 2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L5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Documentation technique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Architecture, schéma BDD, API, procédures déploiement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PDF / Markdown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Fin Sprint 5</w:t>
            </w:r>
          </w:p>
        </w:tc>
      </w:tr>
      <w:tr>
        <w:tc>
          <w:tcPr>
            <w:tcW w:type="dxa" w:w="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1A5C38"/>
                <w:sz w:val="17"/>
                <w:szCs w:val="17"/>
              </w:rPr>
              <w:t xml:space="preserve">L6</w:t>
            </w:r>
          </w:p>
        </w:tc>
        <w:tc>
          <w:tcPr>
            <w:tcW w:type="dxa" w:w="2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1F618D"/>
                <w:sz w:val="17"/>
                <w:szCs w:val="17"/>
              </w:rPr>
              <w:t xml:space="preserve">Rapport de tests</w:t>
            </w:r>
          </w:p>
        </w:tc>
        <w:tc>
          <w:tcPr>
            <w:tcW w:type="dxa" w:w="3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C2833"/>
                <w:sz w:val="17"/>
                <w:szCs w:val="17"/>
              </w:rPr>
              <w:t xml:space="preserve">Tests unitaires, intégration, recette utilisateurs</w:t>
            </w:r>
          </w:p>
        </w:tc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717D7E"/>
                <w:sz w:val="16"/>
                <w:szCs w:val="16"/>
              </w:rPr>
              <w:t xml:space="preserve">PDF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AF7E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27AE60"/>
                <w:sz w:val="16"/>
                <w:szCs w:val="16"/>
              </w:rPr>
              <w:t xml:space="preserve">Fin Sprint 6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200"/>
        <w:jc w:val="right"/>
      </w:pPr>
      <w:r>
        <w:rPr>
          <w:color w:val="717D7E"/>
          <w:sz w:val="18"/>
          <w:szCs w:val="18"/>
        </w:rPr>
        <w:t xml:space="preserve">Validé par : ________________________   Date : ___________</w:t>
      </w:r>
    </w:p>
    <w:p>
      <w:pPr>
        <w:spacing w:before="80"/>
        <w:jc w:val="right"/>
      </w:pPr>
      <w:r>
        <w:rPr>
          <w:b/>
          <w:bCs/>
          <w:color w:val="1A5C38"/>
          <w:sz w:val="18"/>
          <w:szCs w:val="18"/>
        </w:rPr>
        <w:t xml:space="preserve">Chef de Cellule CPDSE-CT : ________________________</w:t>
      </w:r>
    </w:p>
    <w:sectPr>
      <w:headerReference w:type="default" r:id="rId6"/>
      <w:footerReference w:type="default" r:id="rId7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7AE60" w:sz="6" w:space="4"/>
      </w:pBdr>
      <w:spacing w:before="60"/>
    </w:pPr>
    <w:r>
      <w:rPr>
        <w:color w:val="717D7E"/>
        <w:sz w:val="16"/>
        <w:szCs w:val="16"/>
      </w:rPr>
      <w:t xml:space="preserve">CDC_LOGICIEL_CPDSE-CT_v1.0   |   Usage interne MDDL   |   Page </w:t>
    </w:r>
    <w:r>
      <w:rPr>
        <w:color w:val="717D7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17D7E"/>
        <w:sz w:val="16"/>
        <w:szCs w:val="16"/>
      </w:rPr>
      <w:t xml:space="preserve"> / </w:t>
    </w:r>
    <w:r>
      <w:rPr>
        <w:color w:val="717D7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8" w:space="6"/>
      </w:pBdr>
      <w:spacing w:before="0" w:after="80"/>
    </w:pPr>
    <w:r>
      <w:rPr>
        <w:b/>
        <w:bCs/>
        <w:color w:val="1A5C38"/>
        <w:sz w:val="17"/>
        <w:szCs w:val="17"/>
      </w:rPr>
      <w:t xml:space="preserve">🇨🇲  MDDL — CPDSE-CT  |  Logiciel de Gestion  |  Flutter  |  </w:t>
    </w:r>
    <w:r>
      <w:rPr>
        <w:color w:val="717D7E"/>
        <w:sz w:val="17"/>
        <w:szCs w:val="17"/>
      </w:rPr>
      <w:t xml:space="preserve">Cahier des Charges Fonctionnel &amp; Technique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2026-03-23T11:58:15.133Z</dcterms:created>
  <dcterms:modified xsi:type="dcterms:W3CDTF">2026-03-23T11:58:15.134Z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