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7A" w:rsidRPr="00B1277A" w:rsidRDefault="00B1277A" w:rsidP="00B1277A">
      <w:pPr>
        <w:pStyle w:val="NoSpacing"/>
        <w:jc w:val="center"/>
        <w:rPr>
          <w:b/>
        </w:rPr>
      </w:pPr>
      <w:r>
        <w:rPr>
          <w:b/>
        </w:rPr>
        <w:t>GENDER INDICATORS GUIDE</w:t>
      </w:r>
    </w:p>
    <w:p w:rsidR="00B1277A" w:rsidRDefault="00B1277A"/>
    <w:p w:rsidR="00B1277A" w:rsidRPr="00337049" w:rsidRDefault="00C72CE6" w:rsidP="00B1277A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The numbers refer to the minimum set of indicators, by domain</w:t>
      </w:r>
      <w:r w:rsidR="00B1277A" w:rsidRPr="00337049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The letters refer to how they are listed in the spreadsheet. </w:t>
      </w:r>
      <w:bookmarkStart w:id="0" w:name="_GoBack"/>
      <w:bookmarkEnd w:id="0"/>
      <w:r w:rsidR="00B1277A" w:rsidRPr="00337049">
        <w:rPr>
          <w:i/>
          <w:sz w:val="20"/>
          <w:szCs w:val="20"/>
        </w:rPr>
        <w:t>The numbers refer to the cell number the indicator starts on.</w:t>
      </w:r>
    </w:p>
    <w:p w:rsidR="00C72CE6" w:rsidRDefault="00C72CE6" w:rsidP="00337049">
      <w:pPr>
        <w:pStyle w:val="NoSpacing"/>
        <w:rPr>
          <w:i/>
          <w:sz w:val="20"/>
          <w:szCs w:val="20"/>
        </w:rPr>
      </w:pPr>
    </w:p>
    <w:p w:rsidR="00337049" w:rsidRPr="00337049" w:rsidRDefault="00337049" w:rsidP="00337049">
      <w:pPr>
        <w:pStyle w:val="NoSpacing"/>
        <w:rPr>
          <w:i/>
          <w:sz w:val="20"/>
          <w:szCs w:val="20"/>
        </w:rPr>
      </w:pPr>
      <w:r w:rsidRPr="00337049">
        <w:rPr>
          <w:i/>
          <w:sz w:val="20"/>
          <w:szCs w:val="20"/>
        </w:rPr>
        <w:t>If listed as “</w:t>
      </w:r>
      <w:r w:rsidRPr="00337049">
        <w:rPr>
          <w:i/>
          <w:sz w:val="20"/>
          <w:szCs w:val="20"/>
        </w:rPr>
        <w:t>Average number of hours spent on unpaid domestic work (housework and child care), female/male</w:t>
      </w:r>
      <w:r w:rsidRPr="00337049">
        <w:rPr>
          <w:i/>
          <w:sz w:val="20"/>
          <w:szCs w:val="20"/>
        </w:rPr>
        <w:t>”</w:t>
      </w:r>
    </w:p>
    <w:p w:rsidR="00337049" w:rsidRPr="00337049" w:rsidRDefault="00337049" w:rsidP="00337049">
      <w:pPr>
        <w:pStyle w:val="NoSpacing"/>
        <w:numPr>
          <w:ilvl w:val="0"/>
          <w:numId w:val="7"/>
        </w:numPr>
        <w:rPr>
          <w:i/>
          <w:sz w:val="20"/>
          <w:szCs w:val="20"/>
        </w:rPr>
      </w:pPr>
      <w:r w:rsidRPr="00337049">
        <w:rPr>
          <w:i/>
          <w:sz w:val="20"/>
          <w:szCs w:val="20"/>
        </w:rPr>
        <w:t>Average number of hours spent on unpaid domestic work (housework and child care), female</w:t>
      </w:r>
      <w:r w:rsidRPr="00337049">
        <w:rPr>
          <w:i/>
          <w:sz w:val="20"/>
          <w:szCs w:val="20"/>
        </w:rPr>
        <w:t xml:space="preserve"> </w:t>
      </w:r>
    </w:p>
    <w:p w:rsidR="00337049" w:rsidRPr="00337049" w:rsidRDefault="00337049" w:rsidP="00337049">
      <w:pPr>
        <w:pStyle w:val="NoSpacing"/>
        <w:numPr>
          <w:ilvl w:val="0"/>
          <w:numId w:val="7"/>
        </w:numPr>
        <w:rPr>
          <w:i/>
          <w:sz w:val="20"/>
          <w:szCs w:val="20"/>
        </w:rPr>
      </w:pPr>
      <w:r w:rsidRPr="00337049">
        <w:rPr>
          <w:i/>
          <w:sz w:val="20"/>
          <w:szCs w:val="20"/>
        </w:rPr>
        <w:t>Average number of hours spent on unpaid domestic work (housework and child care), male</w:t>
      </w:r>
    </w:p>
    <w:p w:rsidR="00B1277A" w:rsidRDefault="00B1277A" w:rsidP="00B1277A">
      <w:pPr>
        <w:pStyle w:val="NoSpacing"/>
      </w:pPr>
    </w:p>
    <w:p w:rsidR="00B1277A" w:rsidRDefault="00B1277A" w:rsidP="00B1277A">
      <w:pPr>
        <w:pStyle w:val="NoSpacing"/>
      </w:pPr>
    </w:p>
    <w:p w:rsidR="00056DBE" w:rsidRDefault="00073814">
      <w:r>
        <w:t>ECON Tab: Economic structures, participation in productive activities and access to resources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>Average number of hours spent on unpaid domestic work by sex</w:t>
      </w:r>
    </w:p>
    <w:p w:rsidR="00073814" w:rsidRDefault="00BF728C" w:rsidP="00BF728C">
      <w:pPr>
        <w:pStyle w:val="ListParagraph"/>
        <w:numPr>
          <w:ilvl w:val="1"/>
          <w:numId w:val="3"/>
        </w:numPr>
      </w:pPr>
      <w:r w:rsidRPr="00BF728C">
        <w:t xml:space="preserve">Average number of hours spent on unpaid domestic work (housework and child care), </w:t>
      </w:r>
      <w:r>
        <w:t>fe</w:t>
      </w:r>
      <w:r w:rsidRPr="00BF728C">
        <w:t>male</w:t>
      </w:r>
      <w:r>
        <w:t>/male—2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r>
        <w:t>Average number of hours spent on unpaid housework, female/male—492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r w:rsidRPr="00BF728C">
        <w:t>Average number of hours spent on unpaid child care, female</w:t>
      </w:r>
      <w:r>
        <w:t xml:space="preserve">/male—982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Average number of hours spent on paid and unpaid work combined (total work burden), by sex 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r w:rsidRPr="00BF728C">
        <w:t>Average number of hours spent on paid and unpaid work combined (total work burden), female</w:t>
      </w:r>
      <w:r>
        <w:t>/male—1473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proofErr w:type="spellStart"/>
      <w:r>
        <w:t>Labour</w:t>
      </w:r>
      <w:proofErr w:type="spellEnd"/>
      <w:r>
        <w:t xml:space="preserve"> force pa</w:t>
      </w:r>
      <w:r w:rsidR="00BF728C">
        <w:t xml:space="preserve">rticipation rates for 15-24 and </w:t>
      </w:r>
      <w:r>
        <w:t xml:space="preserve">15+, by sex 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proofErr w:type="spellStart"/>
      <w:r w:rsidRPr="00BF728C">
        <w:t>Labour</w:t>
      </w:r>
      <w:proofErr w:type="spellEnd"/>
      <w:r w:rsidRPr="00BF728C">
        <w:t xml:space="preserve"> force participation rates for 15-24, female</w:t>
      </w:r>
      <w:r>
        <w:t>/male/total</w:t>
      </w:r>
      <w:r w:rsidRPr="00BF728C">
        <w:t xml:space="preserve"> (% ages 15-24) (national estimate)</w:t>
      </w:r>
      <w:r>
        <w:t>-- 1964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Proportion of employed who are own-account workers, by sex 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r w:rsidRPr="00BF728C">
        <w:t>Own-account workers, female</w:t>
      </w:r>
      <w:r>
        <w:t>/male</w:t>
      </w:r>
      <w:r w:rsidRPr="00BF728C">
        <w:t xml:space="preserve"> (% of females</w:t>
      </w:r>
      <w:r>
        <w:t>/males</w:t>
      </w:r>
      <w:r w:rsidRPr="00BF728C">
        <w:t xml:space="preserve"> employed)</w:t>
      </w:r>
      <w:r>
        <w:t>-- 2945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Proportion of employed who are working as contributing family workers, by sex </w:t>
      </w:r>
    </w:p>
    <w:p w:rsidR="00BF728C" w:rsidRDefault="00BF728C" w:rsidP="00BF728C">
      <w:pPr>
        <w:pStyle w:val="ListParagraph"/>
        <w:numPr>
          <w:ilvl w:val="1"/>
          <w:numId w:val="3"/>
        </w:numPr>
      </w:pPr>
      <w:r w:rsidRPr="00BF728C">
        <w:t>Contributing family workers, female</w:t>
      </w:r>
      <w:r>
        <w:t>/male</w:t>
      </w:r>
      <w:r w:rsidRPr="00BF728C">
        <w:t xml:space="preserve"> (% of females</w:t>
      </w:r>
      <w:r>
        <w:t>/male</w:t>
      </w:r>
      <w:r w:rsidRPr="00BF728C">
        <w:t xml:space="preserve"> employed)</w:t>
      </w:r>
      <w:r>
        <w:t>-- 3436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>Proportion of em</w:t>
      </w:r>
      <w:r w:rsidR="00BF728C">
        <w:t>ployed who are employer, by sex</w:t>
      </w:r>
    </w:p>
    <w:p w:rsidR="00BF728C" w:rsidRDefault="00B1277A" w:rsidP="00B1277A">
      <w:pPr>
        <w:pStyle w:val="ListParagraph"/>
        <w:numPr>
          <w:ilvl w:val="1"/>
          <w:numId w:val="3"/>
        </w:numPr>
      </w:pPr>
      <w:r w:rsidRPr="00B1277A">
        <w:t>Self-employed, female</w:t>
      </w:r>
      <w:r>
        <w:t>/male</w:t>
      </w:r>
      <w:r w:rsidRPr="00B1277A">
        <w:t xml:space="preserve"> (% of females</w:t>
      </w:r>
      <w:r>
        <w:t>/males</w:t>
      </w:r>
      <w:r w:rsidRPr="00B1277A">
        <w:t xml:space="preserve"> employed)</w:t>
      </w:r>
      <w:r>
        <w:t>-- 3927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Percentage of firms owned by women, by </w:t>
      </w:r>
      <w:r w:rsidR="00BF728C">
        <w:t>size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Percentage of firms with female participation in owner</w:t>
      </w:r>
      <w:r>
        <w:t>ship (average reported by firms)—4418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Percentage distribution of employed population by sector, each 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Ratio of female to male labor force participation rate (%) (modeled ILO estimate)</w:t>
      </w:r>
      <w:r>
        <w:t xml:space="preserve">—4664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Informal employment as a percentage of total non-agricultural employment, by 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Informal employment, female</w:t>
      </w:r>
      <w:r>
        <w:t>/male</w:t>
      </w:r>
      <w:r w:rsidRPr="00B1277A">
        <w:t xml:space="preserve"> (% of t</w:t>
      </w:r>
      <w:r>
        <w:t xml:space="preserve">otal nonagricultural employment)—4910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Youth unemployment by 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Ratio of female to male youth unemployment rate (% ages 15-24) (modeled ILO estimate)</w:t>
      </w:r>
      <w:r>
        <w:t>—5401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 xml:space="preserve">Proportion of population with access to credit, by 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Credit card, female</w:t>
      </w:r>
      <w:r>
        <w:t>/male</w:t>
      </w:r>
      <w:r w:rsidRPr="00B1277A">
        <w:t xml:space="preserve"> (% age 15+)</w:t>
      </w:r>
      <w:r>
        <w:t xml:space="preserve">—5647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>Proportion of a</w:t>
      </w:r>
      <w:r w:rsidR="00BF728C">
        <w:t xml:space="preserve">dult population owning land, by </w:t>
      </w:r>
      <w:r>
        <w:t xml:space="preserve">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Land owners, female (% of adult population)</w:t>
      </w:r>
      <w:r>
        <w:t xml:space="preserve">—6138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lastRenderedPageBreak/>
        <w:t xml:space="preserve">Gender gap in wages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Wage equality between women and men for similar work (ratio)</w:t>
      </w:r>
      <w:r>
        <w:t xml:space="preserve">—6629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>14 Proportion of</w:t>
      </w:r>
      <w:r w:rsidR="00BF728C">
        <w:t xml:space="preserve"> employed working part-time, by </w:t>
      </w:r>
      <w:r>
        <w:t xml:space="preserve">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Part time employment, female</w:t>
      </w:r>
      <w:r>
        <w:t>/male</w:t>
      </w:r>
      <w:r w:rsidRPr="00B1277A">
        <w:t xml:space="preserve"> (% of total female</w:t>
      </w:r>
      <w:r>
        <w:t>/male</w:t>
      </w:r>
      <w:r w:rsidRPr="00B1277A">
        <w:t xml:space="preserve"> employment)</w:t>
      </w:r>
      <w:r>
        <w:t xml:space="preserve">—6875 </w:t>
      </w:r>
    </w:p>
    <w:p w:rsidR="00BF728C" w:rsidRDefault="00073814" w:rsidP="00BF728C">
      <w:pPr>
        <w:pStyle w:val="ListParagraph"/>
        <w:numPr>
          <w:ilvl w:val="0"/>
          <w:numId w:val="3"/>
        </w:numPr>
      </w:pPr>
      <w:r>
        <w:t>Employment ra</w:t>
      </w:r>
      <w:r w:rsidR="00BF728C">
        <w:t xml:space="preserve">te of persons aged 25-49 with a </w:t>
      </w:r>
      <w:r>
        <w:t>child under age 3</w:t>
      </w:r>
      <w:r w:rsidR="00BF728C">
        <w:t xml:space="preserve"> living in a household and with </w:t>
      </w:r>
      <w:r>
        <w:t xml:space="preserve">no children living in the household, by sex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Employment rate of persons aged 25-49 with a child under age 3 living in a household, female</w:t>
      </w:r>
      <w:r>
        <w:t>/male</w:t>
      </w:r>
      <w:r w:rsidRPr="00B1277A">
        <w:t xml:space="preserve"> (%)</w:t>
      </w:r>
      <w:r>
        <w:t xml:space="preserve">—7611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 xml:space="preserve">Employment rate of persons aged 25-49 with no children living in the household, </w:t>
      </w:r>
      <w:r>
        <w:t>female/</w:t>
      </w:r>
      <w:r w:rsidRPr="00B1277A">
        <w:t>male (%)</w:t>
      </w:r>
      <w:r>
        <w:t xml:space="preserve">—8101 </w:t>
      </w:r>
    </w:p>
    <w:p w:rsidR="00073814" w:rsidRDefault="00073814" w:rsidP="00BF728C">
      <w:pPr>
        <w:pStyle w:val="ListParagraph"/>
        <w:numPr>
          <w:ilvl w:val="0"/>
          <w:numId w:val="3"/>
        </w:numPr>
      </w:pPr>
      <w:r>
        <w:t xml:space="preserve">Proportion of children under age 3 in formal care 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Children under age 3 in formal care (%)</w:t>
      </w:r>
      <w:r>
        <w:t xml:space="preserve">—8592 </w:t>
      </w:r>
    </w:p>
    <w:p w:rsidR="00B1277A" w:rsidRDefault="00B1277A" w:rsidP="00B1277A">
      <w:pPr>
        <w:pStyle w:val="ListParagraph"/>
        <w:numPr>
          <w:ilvl w:val="0"/>
          <w:numId w:val="3"/>
        </w:numPr>
      </w:pPr>
      <w:r>
        <w:t>Proportion of individuals using the Internet, by sex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Internet users, female</w:t>
      </w:r>
      <w:r>
        <w:t>/male</w:t>
      </w:r>
      <w:r w:rsidRPr="00B1277A">
        <w:t xml:space="preserve"> (%)</w:t>
      </w:r>
      <w:r>
        <w:t xml:space="preserve">—8838 </w:t>
      </w:r>
    </w:p>
    <w:p w:rsidR="00B1277A" w:rsidRDefault="00B1277A" w:rsidP="00B1277A">
      <w:pPr>
        <w:pStyle w:val="ListParagraph"/>
        <w:numPr>
          <w:ilvl w:val="0"/>
          <w:numId w:val="3"/>
        </w:numPr>
      </w:pPr>
      <w:r>
        <w:t>Proportion of individuals using mobile/cellular telephones, by sex</w:t>
      </w:r>
    </w:p>
    <w:p w:rsidR="00B1277A" w:rsidRDefault="00B1277A" w:rsidP="00B1277A">
      <w:pPr>
        <w:pStyle w:val="ListParagraph"/>
        <w:numPr>
          <w:ilvl w:val="1"/>
          <w:numId w:val="3"/>
        </w:numPr>
      </w:pPr>
      <w:r w:rsidRPr="00B1277A">
        <w:t>Mobile phone used to pay bills, female</w:t>
      </w:r>
      <w:r w:rsidR="0040540A">
        <w:t>/male</w:t>
      </w:r>
      <w:r w:rsidRPr="00B1277A">
        <w:t xml:space="preserve"> (% age 15+)</w:t>
      </w:r>
      <w:r w:rsidR="0040540A">
        <w:t>—9329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Mobile phone used to receive money, female</w:t>
      </w:r>
      <w:r>
        <w:t>/male</w:t>
      </w:r>
      <w:r w:rsidRPr="0040540A">
        <w:t xml:space="preserve"> (% age 15+)</w:t>
      </w:r>
      <w:r>
        <w:t>—9819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Mobile phone used to send money, female</w:t>
      </w:r>
      <w:r>
        <w:t>/male</w:t>
      </w:r>
      <w:r w:rsidRPr="0040540A">
        <w:t xml:space="preserve"> (% age 15+)</w:t>
      </w:r>
      <w:r>
        <w:t xml:space="preserve">—10309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Proportion of households with access to mass media (radio, TV, Internet), by sex of household head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Access to mass media (ICT), female</w:t>
      </w:r>
      <w:r>
        <w:t>/male</w:t>
      </w:r>
      <w:r w:rsidRPr="0040540A">
        <w:t xml:space="preserve"> (%)</w:t>
      </w:r>
      <w:r>
        <w:t xml:space="preserve">—10800 </w:t>
      </w:r>
    </w:p>
    <w:p w:rsidR="0040540A" w:rsidRDefault="0040540A" w:rsidP="0040540A"/>
    <w:p w:rsidR="0040540A" w:rsidRDefault="0040540A" w:rsidP="0040540A">
      <w:r>
        <w:t>EDUCATION Tab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Literacy rate of persons aged 15-24 years old,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Literacy rate, youth female</w:t>
      </w:r>
      <w:r>
        <w:t>/male</w:t>
      </w:r>
      <w:r w:rsidRPr="0040540A">
        <w:t xml:space="preserve"> (% of females ages 15-24)</w:t>
      </w:r>
      <w:r>
        <w:t xml:space="preserve">—2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Adjusted</w:t>
      </w:r>
      <w:r>
        <w:t xml:space="preserve"> net enrolment ratio in primary </w:t>
      </w:r>
      <w:r>
        <w:t xml:space="preserve">education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Ratio of female to male primary enrollment (%)</w:t>
      </w:r>
      <w:r>
        <w:t xml:space="preserve">—493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Gross enrolment ratio in secondary education,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Ratio of female to male secondary enrollment (%)</w:t>
      </w:r>
      <w:r>
        <w:t xml:space="preserve">—739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Gross enrolment ratio in tertiary education,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Ratio of female to male tertiary enrollment (%)</w:t>
      </w:r>
      <w:r>
        <w:t xml:space="preserve">—985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G</w:t>
      </w:r>
      <w:r>
        <w:t xml:space="preserve">ender parity index in enrolment at primary, secondary and tertiary levels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>
        <w:t xml:space="preserve">n/a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Share of female science, engineering, manufacturing and construction graduates at tertiary level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Female share of graduates in science (%, tertiary)</w:t>
      </w:r>
      <w:r>
        <w:t xml:space="preserve">—1231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Female share of graduates in engineering, manufacturing and construction (%, tertiary)</w:t>
      </w:r>
      <w:r>
        <w:t xml:space="preserve">—1476 </w:t>
      </w:r>
      <w:r>
        <w:t xml:space="preserve">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Proportion of f</w:t>
      </w:r>
      <w:r>
        <w:t xml:space="preserve">emales among tertiary education </w:t>
      </w:r>
      <w:r>
        <w:t>teachers or professors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Tertiary education, teachers (%  female)</w:t>
      </w:r>
      <w:r>
        <w:t xml:space="preserve">—1722 </w:t>
      </w:r>
      <w:r>
        <w:t xml:space="preserve">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Net intake in first grade of primary education,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lastRenderedPageBreak/>
        <w:t>Net intake rate in grade 1, female</w:t>
      </w:r>
      <w:r>
        <w:t>/male</w:t>
      </w:r>
      <w:r w:rsidRPr="0040540A">
        <w:t xml:space="preserve"> (% of official school-age population)</w:t>
      </w:r>
      <w:r>
        <w:t xml:space="preserve">—1968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Primary education completion rate,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Primary completion rate, female</w:t>
      </w:r>
      <w:r>
        <w:t>/male</w:t>
      </w:r>
      <w:r w:rsidRPr="0040540A">
        <w:t xml:space="preserve"> (% of relevant age group)</w:t>
      </w:r>
      <w:r>
        <w:t xml:space="preserve">—2459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>Graduation from lower secondary education, by sex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Graduation at lower secondary, female</w:t>
      </w:r>
      <w:r>
        <w:t>/male</w:t>
      </w:r>
      <w:r w:rsidRPr="0040540A">
        <w:t xml:space="preserve"> (%)</w:t>
      </w:r>
      <w:r>
        <w:t xml:space="preserve">—2950 </w:t>
      </w:r>
      <w:r>
        <w:t xml:space="preserve">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Transition rate to secondary education, by sex 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Progression to secondary school, female</w:t>
      </w:r>
      <w:r>
        <w:t>/male</w:t>
      </w:r>
      <w:r w:rsidRPr="0040540A">
        <w:t xml:space="preserve"> (%)</w:t>
      </w:r>
      <w:r>
        <w:t xml:space="preserve">—3441 </w:t>
      </w:r>
    </w:p>
    <w:p w:rsidR="0040540A" w:rsidRDefault="0040540A" w:rsidP="0040540A">
      <w:pPr>
        <w:pStyle w:val="ListParagraph"/>
        <w:numPr>
          <w:ilvl w:val="0"/>
          <w:numId w:val="3"/>
        </w:numPr>
      </w:pPr>
      <w:r>
        <w:t xml:space="preserve">Education attainment of population aged 25 and </w:t>
      </w:r>
      <w:r>
        <w:t>over, by sex</w:t>
      </w:r>
    </w:p>
    <w:p w:rsidR="0040540A" w:rsidRDefault="0040540A" w:rsidP="0040540A">
      <w:pPr>
        <w:pStyle w:val="ListParagraph"/>
        <w:numPr>
          <w:ilvl w:val="1"/>
          <w:numId w:val="3"/>
        </w:numPr>
      </w:pPr>
      <w:r w:rsidRPr="0040540A">
        <w:t>Education attainment of population aged 25 and over, female</w:t>
      </w:r>
      <w:r>
        <w:t>/male</w:t>
      </w:r>
      <w:r w:rsidRPr="0040540A">
        <w:t xml:space="preserve"> (years)</w:t>
      </w:r>
      <w:r>
        <w:t>—3932</w:t>
      </w:r>
    </w:p>
    <w:p w:rsidR="0040540A" w:rsidRDefault="0040540A" w:rsidP="0040540A"/>
    <w:p w:rsidR="00337049" w:rsidRDefault="00337049" w:rsidP="00337049">
      <w:r>
        <w:t xml:space="preserve">HEALTH Tab: Health and related services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Contraceptive prevalence among women who are married or in a union, aged 15-49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Contraceptive prevalence (% of women ages 15-49)</w:t>
      </w:r>
      <w:r>
        <w:t xml:space="preserve">—2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Under-five mortality rate, by sex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>
        <w:t xml:space="preserve">Mortality rate, under-5, female/male </w:t>
      </w:r>
      <w:r w:rsidRPr="00337049">
        <w:t>(per 1,000)</w:t>
      </w:r>
      <w:r>
        <w:t xml:space="preserve">—248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Maternal mortalit</w:t>
      </w:r>
      <w:r>
        <w:t>y ratio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Maternal mortality ratio (modeled estimate, per 100,000 live births)</w:t>
      </w:r>
      <w:r>
        <w:t xml:space="preserve">—739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Antenatal care coverage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Pregnant women receiving prenatal care (%)</w:t>
      </w:r>
      <w:r>
        <w:t xml:space="preserve">—985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Proportion of births attended by skilled health professional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Births attended by skilled health staff (% of total)</w:t>
      </w:r>
      <w:r>
        <w:t xml:space="preserve">—1231 </w:t>
      </w:r>
      <w:r>
        <w:t xml:space="preserve">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Smoking preva</w:t>
      </w:r>
      <w:r>
        <w:t xml:space="preserve">lence among persons aged 15 and </w:t>
      </w:r>
      <w:r>
        <w:t xml:space="preserve">over, by sex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Smoking prevalence, females</w:t>
      </w:r>
      <w:r>
        <w:t>/males</w:t>
      </w:r>
      <w:r w:rsidRPr="00337049">
        <w:t xml:space="preserve"> (% of adults)</w:t>
      </w:r>
      <w:r>
        <w:t xml:space="preserve">—1477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Proportion of adults who are obese, by sex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Prevalence of obesity, female</w:t>
      </w:r>
      <w:r>
        <w:t>/male</w:t>
      </w:r>
      <w:r w:rsidRPr="00337049">
        <w:t xml:space="preserve"> (% of female</w:t>
      </w:r>
      <w:r>
        <w:t>/male</w:t>
      </w:r>
      <w:r w:rsidRPr="00337049">
        <w:t xml:space="preserve"> population ages 20+)</w:t>
      </w:r>
      <w:r>
        <w:t xml:space="preserve">—1968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Women’s share </w:t>
      </w:r>
      <w:r>
        <w:t xml:space="preserve">of population aged 15-49 living </w:t>
      </w:r>
      <w:r>
        <w:t xml:space="preserve">with HIV/AIDS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Female adults with HIV (% of population ages 15+ with HIV)</w:t>
      </w:r>
      <w:r>
        <w:t xml:space="preserve">—2459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Access </w:t>
      </w:r>
      <w:r>
        <w:t>to anti-retroviral drug, by sex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Access to anti-retroviral drugs, female</w:t>
      </w:r>
      <w:r>
        <w:t>/male</w:t>
      </w:r>
      <w:r w:rsidRPr="00337049">
        <w:t xml:space="preserve"> (%)</w:t>
      </w:r>
      <w:r>
        <w:t xml:space="preserve">—2705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Life expectancy at age 60, by sex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Life expectancy at age 60, female</w:t>
      </w:r>
      <w:r>
        <w:t>/male</w:t>
      </w:r>
      <w:r w:rsidRPr="00337049">
        <w:t xml:space="preserve"> (years)</w:t>
      </w:r>
      <w:r>
        <w:t xml:space="preserve">—3196 </w:t>
      </w:r>
    </w:p>
    <w:p w:rsidR="00B1277A" w:rsidRDefault="00337049" w:rsidP="00337049">
      <w:pPr>
        <w:pStyle w:val="ListParagraph"/>
        <w:numPr>
          <w:ilvl w:val="0"/>
          <w:numId w:val="3"/>
        </w:numPr>
      </w:pPr>
      <w:r>
        <w:t>Adult mortality by cause and age groups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Cause of death, by communicable diseases and maternal, prenatal and nutrition conditions (% of total deaths ages 15 and</w:t>
      </w:r>
      <w:r>
        <w:t xml:space="preserve"> above)—3687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Cause of death, by injury (% of total deaths ages 15 and above)</w:t>
      </w:r>
      <w:r>
        <w:t xml:space="preserve">—3932 </w:t>
      </w:r>
    </w:p>
    <w:p w:rsidR="00337049" w:rsidRDefault="00337049" w:rsidP="00337049">
      <w:pPr>
        <w:pStyle w:val="ListParagraph"/>
        <w:numPr>
          <w:ilvl w:val="1"/>
          <w:numId w:val="3"/>
        </w:numPr>
      </w:pPr>
      <w:r w:rsidRPr="00337049">
        <w:t>Cause of death, by non-communicable diseases (% of</w:t>
      </w:r>
      <w:r>
        <w:t xml:space="preserve"> total deaths ages 15 and above)—4177 </w:t>
      </w:r>
    </w:p>
    <w:p w:rsidR="00337049" w:rsidRDefault="00337049" w:rsidP="00337049"/>
    <w:p w:rsidR="00337049" w:rsidRDefault="00337049" w:rsidP="00337049">
      <w:r>
        <w:lastRenderedPageBreak/>
        <w:t>PUBLIC LIFE Tab: Public life and decision-making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Women’s share of government ministerial positions</w:t>
      </w:r>
    </w:p>
    <w:p w:rsidR="00C72CE6" w:rsidRDefault="00337049" w:rsidP="00C72CE6">
      <w:pPr>
        <w:pStyle w:val="ListParagraph"/>
        <w:numPr>
          <w:ilvl w:val="1"/>
          <w:numId w:val="3"/>
        </w:numPr>
      </w:pPr>
      <w:r>
        <w:t xml:space="preserve"> </w:t>
      </w:r>
      <w:r w:rsidR="00C72CE6" w:rsidRPr="00C72CE6">
        <w:t>Proportion of women in ministerial level positions (%)</w:t>
      </w:r>
      <w:r w:rsidR="00C72CE6">
        <w:t>—2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Proportion of seats held by women in national parliament 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Proportion of seats held by w</w:t>
      </w:r>
      <w:r>
        <w:t>omen in national parliaments (%</w:t>
      </w:r>
      <w:r w:rsidRPr="00C72CE6">
        <w:t>)</w:t>
      </w:r>
      <w:r>
        <w:t xml:space="preserve">—248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>Women’</w:t>
      </w:r>
      <w:r>
        <w:t>s share of managerial positions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Women in managerial post (% of total)</w:t>
      </w:r>
      <w:r>
        <w:t xml:space="preserve">—494 </w:t>
      </w:r>
    </w:p>
    <w:p w:rsidR="00337049" w:rsidRDefault="00337049" w:rsidP="00337049">
      <w:pPr>
        <w:pStyle w:val="ListParagraph"/>
        <w:numPr>
          <w:ilvl w:val="0"/>
          <w:numId w:val="3"/>
        </w:numPr>
      </w:pPr>
      <w:r>
        <w:t xml:space="preserve">Percentage of female police officers 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Female police officers (% of total)</w:t>
      </w:r>
      <w:r>
        <w:t xml:space="preserve">—740 </w:t>
      </w:r>
    </w:p>
    <w:p w:rsidR="00C72CE6" w:rsidRDefault="00337049" w:rsidP="00337049">
      <w:pPr>
        <w:pStyle w:val="ListParagraph"/>
        <w:numPr>
          <w:ilvl w:val="0"/>
          <w:numId w:val="3"/>
        </w:numPr>
      </w:pPr>
      <w:r>
        <w:t>Percentage of female judges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Female judges (% of total)</w:t>
      </w:r>
      <w:r>
        <w:t xml:space="preserve">—986 </w:t>
      </w:r>
    </w:p>
    <w:p w:rsidR="00C72CE6" w:rsidRDefault="00C72CE6" w:rsidP="00C72CE6"/>
    <w:p w:rsidR="00C72CE6" w:rsidRDefault="00C72CE6" w:rsidP="00C72CE6">
      <w:r>
        <w:t xml:space="preserve">HUMAN RIGHTS Tab: Human rights of women and girl children </w:t>
      </w:r>
    </w:p>
    <w:p w:rsidR="00C72CE6" w:rsidRDefault="00C72CE6" w:rsidP="00C72CE6">
      <w:pPr>
        <w:pStyle w:val="ListParagraph"/>
        <w:numPr>
          <w:ilvl w:val="0"/>
          <w:numId w:val="3"/>
        </w:numPr>
      </w:pPr>
      <w:r>
        <w:t xml:space="preserve">Proportion of women aged 15-49 subjected to physical or sexual violence in the last 12 months by an intimate partner 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Proportion of women aged 15-49 subjected to physical or sexual violence in the last 12 months by an intimate partner (%)</w:t>
      </w:r>
      <w:r>
        <w:t xml:space="preserve">—2 </w:t>
      </w:r>
    </w:p>
    <w:p w:rsidR="00C72CE6" w:rsidRDefault="00C72CE6" w:rsidP="00C72CE6">
      <w:pPr>
        <w:pStyle w:val="ListParagraph"/>
        <w:numPr>
          <w:ilvl w:val="0"/>
          <w:numId w:val="3"/>
        </w:numPr>
      </w:pPr>
      <w:r>
        <w:t xml:space="preserve">Proportion of women aged 15-49 subjected to physical or sexual violence in the last 12 months by persons other than an intimate partner 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Proportion of women aged 15-49 subjected to physical or sexual violence in the last 12 months by persons other than an intimate partner (%)</w:t>
      </w:r>
      <w:r>
        <w:t xml:space="preserve">—248 </w:t>
      </w:r>
    </w:p>
    <w:p w:rsidR="00C72CE6" w:rsidRDefault="00C72CE6" w:rsidP="00C72CE6">
      <w:pPr>
        <w:pStyle w:val="ListParagraph"/>
        <w:numPr>
          <w:ilvl w:val="0"/>
          <w:numId w:val="3"/>
        </w:numPr>
      </w:pPr>
      <w:r>
        <w:t>Prevalenc</w:t>
      </w:r>
      <w:r>
        <w:t>e of female genital mutilation/</w:t>
      </w:r>
      <w:r>
        <w:t xml:space="preserve">cutting (for relevant countries only) 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Prevalence of FGM/C (for relevant countries only)</w:t>
      </w:r>
      <w:r>
        <w:t xml:space="preserve">—494 </w:t>
      </w:r>
    </w:p>
    <w:p w:rsidR="00C72CE6" w:rsidRDefault="00C72CE6" w:rsidP="00C72CE6">
      <w:pPr>
        <w:pStyle w:val="ListParagraph"/>
        <w:numPr>
          <w:ilvl w:val="0"/>
          <w:numId w:val="3"/>
        </w:numPr>
      </w:pPr>
      <w:r>
        <w:t>Percentage of women aged 20-24 years old who were marr</w:t>
      </w:r>
      <w:r>
        <w:t>ied or in a union before age 18)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Women who were first married by age 18 (% of women ages 20-24)</w:t>
      </w:r>
      <w:r>
        <w:t xml:space="preserve">—740 </w:t>
      </w:r>
    </w:p>
    <w:p w:rsidR="00337049" w:rsidRDefault="00C72CE6" w:rsidP="00C72CE6">
      <w:pPr>
        <w:pStyle w:val="ListParagraph"/>
        <w:numPr>
          <w:ilvl w:val="0"/>
          <w:numId w:val="3"/>
        </w:numPr>
      </w:pPr>
      <w:r>
        <w:t>Adolescent fertility rate</w:t>
      </w:r>
    </w:p>
    <w:p w:rsidR="00C72CE6" w:rsidRDefault="00C72CE6" w:rsidP="00C72CE6">
      <w:pPr>
        <w:pStyle w:val="ListParagraph"/>
        <w:numPr>
          <w:ilvl w:val="1"/>
          <w:numId w:val="3"/>
        </w:numPr>
      </w:pPr>
      <w:r w:rsidRPr="00C72CE6">
        <w:t>Adolescent fertility rate (births per 1,000 women ages 15-19)</w:t>
      </w:r>
      <w:r>
        <w:t xml:space="preserve">—986 </w:t>
      </w:r>
    </w:p>
    <w:sectPr w:rsidR="00C7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14D"/>
    <w:multiLevelType w:val="hybridMultilevel"/>
    <w:tmpl w:val="F966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2F4F"/>
    <w:multiLevelType w:val="hybridMultilevel"/>
    <w:tmpl w:val="8AF6A61C"/>
    <w:lvl w:ilvl="0" w:tplc="AFC0CE36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F39DB"/>
    <w:multiLevelType w:val="hybridMultilevel"/>
    <w:tmpl w:val="A22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67E01"/>
    <w:multiLevelType w:val="hybridMultilevel"/>
    <w:tmpl w:val="9AF6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73898"/>
    <w:multiLevelType w:val="hybridMultilevel"/>
    <w:tmpl w:val="1AAA4042"/>
    <w:lvl w:ilvl="0" w:tplc="01160A28">
      <w:start w:val="4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3D2F42"/>
    <w:multiLevelType w:val="hybridMultilevel"/>
    <w:tmpl w:val="6BFAD920"/>
    <w:lvl w:ilvl="0" w:tplc="227EA1A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12CE8"/>
    <w:multiLevelType w:val="hybridMultilevel"/>
    <w:tmpl w:val="E030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14"/>
    <w:rsid w:val="00073814"/>
    <w:rsid w:val="00337049"/>
    <w:rsid w:val="0034765C"/>
    <w:rsid w:val="0040540A"/>
    <w:rsid w:val="00B1277A"/>
    <w:rsid w:val="00BF728C"/>
    <w:rsid w:val="00C72CE6"/>
    <w:rsid w:val="00F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14"/>
    <w:pPr>
      <w:ind w:left="720"/>
      <w:contextualSpacing/>
    </w:pPr>
  </w:style>
  <w:style w:type="paragraph" w:styleId="NoSpacing">
    <w:name w:val="No Spacing"/>
    <w:uiPriority w:val="1"/>
    <w:qFormat/>
    <w:rsid w:val="00B127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14"/>
    <w:pPr>
      <w:ind w:left="720"/>
      <w:contextualSpacing/>
    </w:pPr>
  </w:style>
  <w:style w:type="paragraph" w:styleId="NoSpacing">
    <w:name w:val="No Spacing"/>
    <w:uiPriority w:val="1"/>
    <w:qFormat/>
    <w:rsid w:val="00B12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Bread for the World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Moeun Sun</dc:creator>
  <cp:lastModifiedBy>Moeun Sun</cp:lastModifiedBy>
  <cp:revision>1</cp:revision>
  <dcterms:created xsi:type="dcterms:W3CDTF">2014-06-24T16:46:00Z</dcterms:created>
  <dcterms:modified xsi:type="dcterms:W3CDTF">2014-06-24T18:53:00Z</dcterms:modified>
</cp:coreProperties>
</file>